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46D3" w14:textId="52FB5679" w:rsidR="00D8498F" w:rsidRDefault="00D8498F" w:rsidP="00D8498F">
      <w:pPr>
        <w:pStyle w:val="CPE-SectionTitle"/>
      </w:pPr>
      <w:r>
        <w:t>Report of the Committee for April 202</w:t>
      </w:r>
      <w:r w:rsidR="00783B1E">
        <w:t>4</w:t>
      </w:r>
      <w:r>
        <w:t xml:space="preserve"> to March 202</w:t>
      </w:r>
      <w:r w:rsidR="00783B1E">
        <w:t>5</w:t>
      </w:r>
    </w:p>
    <w:p w14:paraId="360C7069" w14:textId="77777777" w:rsidR="00D8498F" w:rsidRPr="00C950E8" w:rsidRDefault="00D8498F" w:rsidP="00D8498F">
      <w:pPr>
        <w:pStyle w:val="CPE-SectionTitle"/>
        <w:rPr>
          <w:rFonts w:cstheme="minorHAnsi"/>
          <w:b/>
          <w:sz w:val="22"/>
          <w:szCs w:val="22"/>
          <w:u w:val="single"/>
        </w:rPr>
      </w:pPr>
    </w:p>
    <w:p w14:paraId="0E12B8F0" w14:textId="77777777" w:rsidR="00D8498F" w:rsidRPr="00C950E8" w:rsidRDefault="00D8498F" w:rsidP="00D8498F">
      <w:pPr>
        <w:pStyle w:val="Heading1"/>
      </w:pPr>
      <w:r w:rsidRPr="00C950E8">
        <w:t>INTRODUCTION</w:t>
      </w:r>
    </w:p>
    <w:p w14:paraId="7F4D9012" w14:textId="77777777" w:rsidR="00D8498F" w:rsidRPr="00C950E8" w:rsidRDefault="00D8498F" w:rsidP="00D8498F">
      <w:pPr>
        <w:pStyle w:val="ListParagraph"/>
        <w:spacing w:after="0" w:line="240" w:lineRule="auto"/>
        <w:ind w:left="360"/>
        <w:rPr>
          <w:rFonts w:cstheme="minorHAnsi"/>
          <w:b/>
        </w:rPr>
      </w:pPr>
    </w:p>
    <w:p w14:paraId="5D9D0E47" w14:textId="20B7D2E1" w:rsidR="00D8498F" w:rsidRDefault="00D8498F" w:rsidP="005E370A">
      <w:pPr>
        <w:jc w:val="both"/>
      </w:pPr>
      <w:r w:rsidRPr="00C950E8">
        <w:t>This report provide</w:t>
      </w:r>
      <w:r>
        <w:t>s</w:t>
      </w:r>
      <w:r w:rsidRPr="00C950E8">
        <w:t xml:space="preserve"> details of the work undertaken by Community Pharmacy Lincolnshire during the period </w:t>
      </w:r>
      <w:r>
        <w:t>1</w:t>
      </w:r>
      <w:r w:rsidRPr="004F2B62">
        <w:rPr>
          <w:vertAlign w:val="superscript"/>
        </w:rPr>
        <w:t>st</w:t>
      </w:r>
      <w:r>
        <w:t xml:space="preserve"> April 202</w:t>
      </w:r>
      <w:r w:rsidR="00783B1E">
        <w:t>4</w:t>
      </w:r>
      <w:r>
        <w:t xml:space="preserve"> to 31</w:t>
      </w:r>
      <w:r w:rsidRPr="004F2B62">
        <w:rPr>
          <w:vertAlign w:val="superscript"/>
        </w:rPr>
        <w:t>st</w:t>
      </w:r>
      <w:r>
        <w:t xml:space="preserve"> March 202</w:t>
      </w:r>
      <w:r w:rsidR="00783B1E">
        <w:t>5</w:t>
      </w:r>
      <w:r>
        <w:t>.</w:t>
      </w:r>
    </w:p>
    <w:p w14:paraId="6D39B0DA" w14:textId="77777777" w:rsidR="00D8498F" w:rsidRPr="00C950E8" w:rsidRDefault="00D8498F" w:rsidP="005E370A">
      <w:pPr>
        <w:jc w:val="both"/>
      </w:pPr>
      <w:r w:rsidRPr="00C950E8">
        <w:t>Community Pharmacy Lincolnshire is the Local Pharmaceutical Committee</w:t>
      </w:r>
      <w:r>
        <w:t xml:space="preserve">, which is </w:t>
      </w:r>
      <w:r w:rsidRPr="00C950E8">
        <w:t xml:space="preserve">the representative statutory body for all Community Pharmacy contractors in the Lincolnshire area.  The committee works with the ICS and other key healthcare stakeholders including local councils and other organisations, as necessary, to ensure that the provision of pharmaceutical services continues to be an integral part of Health and Social Care in the county and that community pharmacy is truly represented.  </w:t>
      </w:r>
    </w:p>
    <w:p w14:paraId="59428D16" w14:textId="780D7CC5" w:rsidR="00D8498F" w:rsidRPr="00C950E8" w:rsidRDefault="00D8498F" w:rsidP="005E370A">
      <w:pPr>
        <w:jc w:val="both"/>
        <w:rPr>
          <w:b/>
        </w:rPr>
      </w:pPr>
      <w:r w:rsidRPr="00C950E8">
        <w:t>This report outlines how the Committee have complied with their duties, the work completed during the course of 20</w:t>
      </w:r>
      <w:r>
        <w:t>2</w:t>
      </w:r>
      <w:r w:rsidR="00783B1E">
        <w:t>4</w:t>
      </w:r>
      <w:r>
        <w:t>/2</w:t>
      </w:r>
      <w:r w:rsidR="00783B1E">
        <w:t>5</w:t>
      </w:r>
      <w:r>
        <w:t xml:space="preserve"> a</w:t>
      </w:r>
      <w:r w:rsidRPr="00C950E8">
        <w:t>nd the priority areas of focus for 2</w:t>
      </w:r>
      <w:r>
        <w:t>02</w:t>
      </w:r>
      <w:r w:rsidR="00783B1E">
        <w:t>5</w:t>
      </w:r>
      <w:r>
        <w:t>/2</w:t>
      </w:r>
      <w:r w:rsidR="00783B1E">
        <w:t>6</w:t>
      </w:r>
      <w:r>
        <w:t>.</w:t>
      </w:r>
      <w:r w:rsidRPr="00C950E8">
        <w:br/>
      </w:r>
    </w:p>
    <w:p w14:paraId="285D8C08" w14:textId="77777777" w:rsidR="00D8498F" w:rsidRDefault="00D8498F">
      <w:pPr>
        <w:spacing w:before="0" w:after="0" w:line="240" w:lineRule="auto"/>
        <w:rPr>
          <w:rFonts w:asciiTheme="majorHAnsi" w:eastAsiaTheme="majorEastAsia" w:hAnsiTheme="majorHAnsi" w:cstheme="majorBidi"/>
          <w:color w:val="EA3C00" w:themeColor="accent1" w:themeShade="BF"/>
          <w:sz w:val="36"/>
          <w:szCs w:val="36"/>
          <w:lang w:eastAsia="en-GB"/>
        </w:rPr>
      </w:pPr>
      <w:r>
        <w:br w:type="page"/>
      </w:r>
    </w:p>
    <w:p w14:paraId="692B626D" w14:textId="16DC9C1C" w:rsidR="00D8498F" w:rsidRPr="004624E3" w:rsidRDefault="00D8498F" w:rsidP="004624E3">
      <w:pPr>
        <w:pStyle w:val="Heading1"/>
      </w:pPr>
      <w:r w:rsidRPr="004624E3">
        <w:lastRenderedPageBreak/>
        <w:t>MEMBERSHIP</w:t>
      </w:r>
    </w:p>
    <w:p w14:paraId="05041DDE" w14:textId="5CC41A9D" w:rsidR="00D8498F" w:rsidRPr="00C950E8" w:rsidRDefault="00D8498F" w:rsidP="005E370A">
      <w:pPr>
        <w:jc w:val="both"/>
        <w:rPr>
          <w:bCs/>
        </w:rPr>
      </w:pPr>
      <w:r w:rsidRPr="00C950E8">
        <w:rPr>
          <w:bCs/>
        </w:rPr>
        <w:t xml:space="preserve">The current LPC committee was formed </w:t>
      </w:r>
      <w:r>
        <w:rPr>
          <w:bCs/>
        </w:rPr>
        <w:t>on 1</w:t>
      </w:r>
      <w:r w:rsidRPr="0075093A">
        <w:rPr>
          <w:bCs/>
          <w:vertAlign w:val="superscript"/>
        </w:rPr>
        <w:t>st</w:t>
      </w:r>
      <w:r>
        <w:rPr>
          <w:bCs/>
        </w:rPr>
        <w:t xml:space="preserve"> July 2023, </w:t>
      </w:r>
      <w:r w:rsidR="00D5233A">
        <w:rPr>
          <w:bCs/>
        </w:rPr>
        <w:t>comprising</w:t>
      </w:r>
      <w:r>
        <w:rPr>
          <w:bCs/>
        </w:rPr>
        <w:t xml:space="preserve"> the same members of the committee that covered the end of the final year of the </w:t>
      </w:r>
      <w:r w:rsidR="00D5233A">
        <w:rPr>
          <w:bCs/>
        </w:rPr>
        <w:t xml:space="preserve">previous </w:t>
      </w:r>
      <w:r>
        <w:rPr>
          <w:bCs/>
        </w:rPr>
        <w:t>committee term.</w:t>
      </w:r>
      <w:r w:rsidRPr="00C950E8">
        <w:rPr>
          <w:bCs/>
        </w:rPr>
        <w:t xml:space="preserve"> </w:t>
      </w:r>
      <w:r>
        <w:rPr>
          <w:bCs/>
        </w:rPr>
        <w:t>This</w:t>
      </w:r>
      <w:r w:rsidRPr="00C950E8">
        <w:rPr>
          <w:bCs/>
        </w:rPr>
        <w:t xml:space="preserve"> report covers the </w:t>
      </w:r>
      <w:r>
        <w:rPr>
          <w:bCs/>
        </w:rPr>
        <w:t>last three month</w:t>
      </w:r>
      <w:r w:rsidR="00D5233A">
        <w:rPr>
          <w:bCs/>
        </w:rPr>
        <w:t>s</w:t>
      </w:r>
      <w:r>
        <w:rPr>
          <w:bCs/>
        </w:rPr>
        <w:t xml:space="preserve"> of the fifth and final </w:t>
      </w:r>
      <w:r w:rsidRPr="00C950E8">
        <w:rPr>
          <w:bCs/>
        </w:rPr>
        <w:t xml:space="preserve">year of </w:t>
      </w:r>
      <w:r>
        <w:rPr>
          <w:bCs/>
        </w:rPr>
        <w:t xml:space="preserve">the previous </w:t>
      </w:r>
      <w:r w:rsidRPr="00C950E8">
        <w:rPr>
          <w:bCs/>
        </w:rPr>
        <w:t>committee’s term</w:t>
      </w:r>
      <w:r>
        <w:rPr>
          <w:bCs/>
        </w:rPr>
        <w:t xml:space="preserve"> and the first nine months of the new committee’s term</w:t>
      </w:r>
      <w:r w:rsidRPr="00C950E8">
        <w:rPr>
          <w:bCs/>
        </w:rPr>
        <w:t xml:space="preserve">. </w:t>
      </w:r>
    </w:p>
    <w:p w14:paraId="228529F7" w14:textId="091F12B3" w:rsidR="007205C3" w:rsidRPr="00C950E8" w:rsidRDefault="007205C3" w:rsidP="005E370A">
      <w:pPr>
        <w:jc w:val="both"/>
        <w:rPr>
          <w:bCs/>
        </w:rPr>
      </w:pPr>
      <w:r w:rsidRPr="00C950E8">
        <w:rPr>
          <w:bCs/>
        </w:rPr>
        <w:t>Community Pharmacy Lincolnshire chose to adopt the PSNC</w:t>
      </w:r>
      <w:r>
        <w:rPr>
          <w:bCs/>
        </w:rPr>
        <w:t xml:space="preserve"> (now Community Pharmacy England)</w:t>
      </w:r>
      <w:r w:rsidRPr="00C950E8">
        <w:rPr>
          <w:bCs/>
        </w:rPr>
        <w:t xml:space="preserve"> model </w:t>
      </w:r>
      <w:r w:rsidR="00D5233A" w:rsidRPr="00C950E8">
        <w:rPr>
          <w:bCs/>
        </w:rPr>
        <w:t>constitution,</w:t>
      </w:r>
      <w:r w:rsidRPr="00C950E8">
        <w:rPr>
          <w:bCs/>
        </w:rPr>
        <w:t xml:space="preserve"> and the membership of the committee is reflective of that. The </w:t>
      </w:r>
      <w:r w:rsidR="00D5233A">
        <w:rPr>
          <w:bCs/>
        </w:rPr>
        <w:t>membership of the nine-</w:t>
      </w:r>
      <w:r w:rsidRPr="00C950E8">
        <w:rPr>
          <w:bCs/>
        </w:rPr>
        <w:t xml:space="preserve">person committee (reduced from </w:t>
      </w:r>
      <w:r w:rsidR="00D5233A">
        <w:rPr>
          <w:bCs/>
        </w:rPr>
        <w:t>ten</w:t>
      </w:r>
      <w:r w:rsidR="00D5233A" w:rsidRPr="00C950E8">
        <w:rPr>
          <w:bCs/>
        </w:rPr>
        <w:t xml:space="preserve"> </w:t>
      </w:r>
      <w:r>
        <w:rPr>
          <w:bCs/>
        </w:rPr>
        <w:t>in November 2023</w:t>
      </w:r>
      <w:r w:rsidRPr="00C950E8">
        <w:rPr>
          <w:bCs/>
        </w:rPr>
        <w:t xml:space="preserve">) is proportional to the numbers of contracts in the area of the LPC held by Company Chemists Association (CCA members), Association of Independent Multiple Pharmacies (AIMP) and Independent Contractors. </w:t>
      </w:r>
      <w:r w:rsidRPr="00E45E9A">
        <w:rPr>
          <w:bCs/>
        </w:rPr>
        <w:t xml:space="preserve">Community Pharmacy Lincolnshire (CPL) </w:t>
      </w:r>
      <w:r w:rsidR="00387B55">
        <w:rPr>
          <w:bCs/>
        </w:rPr>
        <w:t>made the decision</w:t>
      </w:r>
      <w:r w:rsidR="00387B55" w:rsidRPr="00E45E9A">
        <w:rPr>
          <w:bCs/>
        </w:rPr>
        <w:t xml:space="preserve"> </w:t>
      </w:r>
      <w:r w:rsidRPr="00E45E9A">
        <w:rPr>
          <w:bCs/>
        </w:rPr>
        <w:t xml:space="preserve">to reduce the size of the committee to nine members as CPL believe this properly represents the contractors in the area for which the LPC is formed, taking account of the financial envelope </w:t>
      </w:r>
      <w:r w:rsidR="00387B55">
        <w:rPr>
          <w:bCs/>
        </w:rPr>
        <w:t>withi</w:t>
      </w:r>
      <w:r w:rsidRPr="00E45E9A">
        <w:rPr>
          <w:bCs/>
        </w:rPr>
        <w:t xml:space="preserve">n which the committee operate, to ensure economy, efficiency and effectiveness for </w:t>
      </w:r>
      <w:r w:rsidR="00387B55">
        <w:rPr>
          <w:bCs/>
        </w:rPr>
        <w:t>all</w:t>
      </w:r>
      <w:r w:rsidR="00387B55" w:rsidRPr="00E45E9A">
        <w:rPr>
          <w:bCs/>
        </w:rPr>
        <w:t xml:space="preserve"> </w:t>
      </w:r>
      <w:r w:rsidRPr="00E45E9A">
        <w:rPr>
          <w:bCs/>
        </w:rPr>
        <w:t>pharmacy contractors in Lincolnshire.</w:t>
      </w:r>
    </w:p>
    <w:p w14:paraId="62703D43" w14:textId="62E37089" w:rsidR="007205C3" w:rsidRPr="00C950E8" w:rsidRDefault="007205C3" w:rsidP="005E370A">
      <w:pPr>
        <w:jc w:val="both"/>
      </w:pPr>
      <w:r w:rsidRPr="007205C3">
        <w:t>Based on contracts held on 30</w:t>
      </w:r>
      <w:r w:rsidRPr="007205C3">
        <w:rPr>
          <w:vertAlign w:val="superscript"/>
        </w:rPr>
        <w:t>th</w:t>
      </w:r>
      <w:r w:rsidRPr="007205C3">
        <w:t xml:space="preserve"> November 2023, the constitution of Lincolnshire LPC (now known as Community Pharmacy Lincolnshire) comprise</w:t>
      </w:r>
      <w:r w:rsidR="00990563">
        <w:t>d</w:t>
      </w:r>
      <w:r w:rsidRPr="007205C3">
        <w:t xml:space="preserve"> 3 CCA members, 4 </w:t>
      </w:r>
      <w:proofErr w:type="spellStart"/>
      <w:r w:rsidRPr="007205C3">
        <w:t>AiMP</w:t>
      </w:r>
      <w:proofErr w:type="spellEnd"/>
      <w:r w:rsidRPr="007205C3">
        <w:t xml:space="preserve"> members and 2 Independent Contractors.</w:t>
      </w:r>
      <w:r w:rsidR="00990563">
        <w:t xml:space="preserve"> </w:t>
      </w:r>
      <w:r w:rsidR="00990563">
        <w:rPr>
          <w:rFonts w:cstheme="minorHAnsi"/>
          <w:bCs/>
        </w:rPr>
        <w:t>Lincolnshire Coop resigned from IPA on 31</w:t>
      </w:r>
      <w:r w:rsidR="00990563" w:rsidRPr="00E7530E">
        <w:rPr>
          <w:rFonts w:cstheme="minorHAnsi"/>
          <w:bCs/>
          <w:vertAlign w:val="superscript"/>
        </w:rPr>
        <w:t>st</w:t>
      </w:r>
      <w:r w:rsidR="00990563">
        <w:rPr>
          <w:rFonts w:cstheme="minorHAnsi"/>
          <w:bCs/>
        </w:rPr>
        <w:t xml:space="preserve"> December 2024, joining CCA from 1</w:t>
      </w:r>
      <w:r w:rsidR="00990563" w:rsidRPr="00E7530E">
        <w:rPr>
          <w:rFonts w:cstheme="minorHAnsi"/>
          <w:bCs/>
          <w:vertAlign w:val="superscript"/>
        </w:rPr>
        <w:t>st</w:t>
      </w:r>
      <w:r w:rsidR="00990563">
        <w:rPr>
          <w:rFonts w:cstheme="minorHAnsi"/>
          <w:bCs/>
        </w:rPr>
        <w:t xml:space="preserve"> January 2025</w:t>
      </w:r>
      <w:r w:rsidR="00D74792">
        <w:rPr>
          <w:rFonts w:cstheme="minorHAnsi"/>
          <w:bCs/>
        </w:rPr>
        <w:t>, recalculation of seats led to an allocation of 6 CCA members and 3 independent members.  However, with the existing IPA seat filled</w:t>
      </w:r>
      <w:r w:rsidR="00F72908">
        <w:rPr>
          <w:rFonts w:cstheme="minorHAnsi"/>
          <w:bCs/>
        </w:rPr>
        <w:t>,</w:t>
      </w:r>
      <w:r w:rsidR="00D74792">
        <w:rPr>
          <w:rFonts w:cstheme="minorHAnsi"/>
          <w:bCs/>
        </w:rPr>
        <w:t xml:space="preserve"> it was agreed that the committee would include 2 independent seats </w:t>
      </w:r>
      <w:r w:rsidR="00B811C0">
        <w:rPr>
          <w:rFonts w:cstheme="minorHAnsi"/>
          <w:bCs/>
        </w:rPr>
        <w:t>and the existing IPA member until they resign or the next elections in 2027, whichever comes earliest.</w:t>
      </w:r>
      <w:r w:rsidR="00D74792">
        <w:rPr>
          <w:rFonts w:cstheme="minorHAnsi"/>
          <w:bCs/>
        </w:rPr>
        <w:t xml:space="preserve"> </w:t>
      </w:r>
    </w:p>
    <w:p w14:paraId="06EB2981" w14:textId="77777777" w:rsidR="007205C3" w:rsidRPr="004F6395" w:rsidRDefault="007205C3" w:rsidP="00900144">
      <w:pPr>
        <w:pStyle w:val="Heading3"/>
      </w:pPr>
      <w:r w:rsidRPr="004F6395">
        <w:t>Committee Members</w:t>
      </w:r>
    </w:p>
    <w:tbl>
      <w:tblPr>
        <w:tblStyle w:val="TableGrid"/>
        <w:tblW w:w="9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260"/>
        <w:gridCol w:w="3403"/>
      </w:tblGrid>
      <w:tr w:rsidR="007205C3" w14:paraId="2EC594BC" w14:textId="77777777" w:rsidTr="00983AE5">
        <w:tc>
          <w:tcPr>
            <w:tcW w:w="3184" w:type="dxa"/>
          </w:tcPr>
          <w:p w14:paraId="06A3FE80" w14:textId="77777777" w:rsidR="007205C3" w:rsidRPr="0040471B" w:rsidRDefault="007205C3" w:rsidP="002E49B5">
            <w:pPr>
              <w:spacing w:before="0" w:after="0"/>
              <w:rPr>
                <w:rFonts w:cstheme="minorHAnsi"/>
                <w:b/>
              </w:rPr>
            </w:pPr>
            <w:r w:rsidRPr="0040471B">
              <w:rPr>
                <w:rFonts w:cstheme="minorHAnsi"/>
                <w:b/>
              </w:rPr>
              <w:t>CCA</w:t>
            </w:r>
          </w:p>
        </w:tc>
        <w:tc>
          <w:tcPr>
            <w:tcW w:w="3260" w:type="dxa"/>
          </w:tcPr>
          <w:p w14:paraId="5C6736A9" w14:textId="4405CC36" w:rsidR="007205C3" w:rsidRPr="0040471B" w:rsidRDefault="00664004" w:rsidP="002E49B5">
            <w:pPr>
              <w:spacing w:before="0" w:after="0"/>
              <w:rPr>
                <w:rFonts w:cstheme="minorHAnsi"/>
                <w:b/>
              </w:rPr>
            </w:pPr>
            <w:r>
              <w:rPr>
                <w:rFonts w:cstheme="minorHAnsi"/>
                <w:b/>
              </w:rPr>
              <w:t>IPA until 12.24</w:t>
            </w:r>
          </w:p>
        </w:tc>
        <w:tc>
          <w:tcPr>
            <w:tcW w:w="3403" w:type="dxa"/>
          </w:tcPr>
          <w:p w14:paraId="7EA8DA24" w14:textId="77777777" w:rsidR="007205C3" w:rsidRPr="0040471B" w:rsidRDefault="007205C3" w:rsidP="002E49B5">
            <w:pPr>
              <w:spacing w:before="0" w:after="0"/>
              <w:rPr>
                <w:rFonts w:cstheme="minorHAnsi"/>
                <w:b/>
              </w:rPr>
            </w:pPr>
            <w:r w:rsidRPr="0040471B">
              <w:rPr>
                <w:rFonts w:cstheme="minorHAnsi"/>
                <w:b/>
              </w:rPr>
              <w:t>Independents</w:t>
            </w:r>
          </w:p>
        </w:tc>
      </w:tr>
      <w:tr w:rsidR="007205C3" w14:paraId="3E727E23" w14:textId="77777777" w:rsidTr="00983AE5">
        <w:tc>
          <w:tcPr>
            <w:tcW w:w="3184" w:type="dxa"/>
          </w:tcPr>
          <w:p w14:paraId="6CE7BB4C" w14:textId="77777777" w:rsidR="007205C3" w:rsidRDefault="007205C3" w:rsidP="002E49B5">
            <w:pPr>
              <w:spacing w:before="0" w:after="0" w:line="240" w:lineRule="auto"/>
              <w:rPr>
                <w:rFonts w:cstheme="minorHAnsi"/>
                <w:bCs/>
              </w:rPr>
            </w:pPr>
            <w:r>
              <w:rPr>
                <w:rFonts w:cstheme="minorHAnsi"/>
                <w:bCs/>
              </w:rPr>
              <w:t>Paul Jenks</w:t>
            </w:r>
          </w:p>
        </w:tc>
        <w:tc>
          <w:tcPr>
            <w:tcW w:w="3260" w:type="dxa"/>
          </w:tcPr>
          <w:p w14:paraId="11094BFF" w14:textId="670AAEF3" w:rsidR="007205C3" w:rsidRDefault="007205C3" w:rsidP="002E49B5">
            <w:pPr>
              <w:spacing w:before="0" w:after="0" w:line="240" w:lineRule="auto"/>
              <w:rPr>
                <w:rFonts w:cstheme="minorHAnsi"/>
                <w:bCs/>
              </w:rPr>
            </w:pPr>
            <w:r>
              <w:rPr>
                <w:rFonts w:cstheme="minorHAnsi"/>
                <w:bCs/>
              </w:rPr>
              <w:t>John Broomhead</w:t>
            </w:r>
            <w:r w:rsidR="00457EFE">
              <w:rPr>
                <w:rFonts w:cstheme="minorHAnsi"/>
                <w:bCs/>
              </w:rPr>
              <w:t xml:space="preserve"> (until 12.24)</w:t>
            </w:r>
          </w:p>
        </w:tc>
        <w:tc>
          <w:tcPr>
            <w:tcW w:w="3403" w:type="dxa"/>
          </w:tcPr>
          <w:p w14:paraId="2CB53301" w14:textId="77777777" w:rsidR="007205C3" w:rsidRDefault="007205C3" w:rsidP="002E49B5">
            <w:pPr>
              <w:spacing w:before="0" w:after="0" w:line="240" w:lineRule="auto"/>
              <w:rPr>
                <w:rFonts w:cstheme="minorHAnsi"/>
                <w:bCs/>
              </w:rPr>
            </w:pPr>
            <w:r>
              <w:rPr>
                <w:rFonts w:cstheme="minorHAnsi"/>
                <w:bCs/>
              </w:rPr>
              <w:t>Blazej Jasnowski</w:t>
            </w:r>
          </w:p>
        </w:tc>
      </w:tr>
      <w:tr w:rsidR="007205C3" w14:paraId="6EB4D080" w14:textId="77777777" w:rsidTr="00983AE5">
        <w:tc>
          <w:tcPr>
            <w:tcW w:w="3184" w:type="dxa"/>
          </w:tcPr>
          <w:p w14:paraId="495DD736" w14:textId="77777777" w:rsidR="007205C3" w:rsidRDefault="007205C3" w:rsidP="002E49B5">
            <w:pPr>
              <w:spacing w:before="0" w:after="0" w:line="240" w:lineRule="auto"/>
              <w:rPr>
                <w:rFonts w:cstheme="minorHAnsi"/>
                <w:bCs/>
              </w:rPr>
            </w:pPr>
            <w:r>
              <w:rPr>
                <w:rFonts w:cstheme="minorHAnsi"/>
                <w:bCs/>
              </w:rPr>
              <w:t>Robert Severn</w:t>
            </w:r>
          </w:p>
        </w:tc>
        <w:tc>
          <w:tcPr>
            <w:tcW w:w="3260" w:type="dxa"/>
          </w:tcPr>
          <w:p w14:paraId="30160BEF" w14:textId="77777777" w:rsidR="007205C3" w:rsidRDefault="007205C3" w:rsidP="002E49B5">
            <w:pPr>
              <w:spacing w:before="0" w:after="0" w:line="240" w:lineRule="auto"/>
              <w:rPr>
                <w:rFonts w:cstheme="minorHAnsi"/>
                <w:bCs/>
              </w:rPr>
            </w:pPr>
            <w:r>
              <w:rPr>
                <w:rFonts w:cstheme="minorHAnsi"/>
                <w:bCs/>
              </w:rPr>
              <w:t>Chris Kenny</w:t>
            </w:r>
          </w:p>
        </w:tc>
        <w:tc>
          <w:tcPr>
            <w:tcW w:w="3403" w:type="dxa"/>
          </w:tcPr>
          <w:p w14:paraId="58D49714" w14:textId="18F4C023" w:rsidR="007205C3" w:rsidRDefault="007205C3" w:rsidP="002E49B5">
            <w:pPr>
              <w:spacing w:before="0" w:after="0" w:line="240" w:lineRule="auto"/>
              <w:rPr>
                <w:rFonts w:cstheme="minorHAnsi"/>
                <w:bCs/>
              </w:rPr>
            </w:pPr>
            <w:r>
              <w:rPr>
                <w:rFonts w:cstheme="minorHAnsi"/>
                <w:bCs/>
              </w:rPr>
              <w:t>Chris Mulimba</w:t>
            </w:r>
            <w:r w:rsidR="00971F5B">
              <w:rPr>
                <w:rFonts w:cstheme="minorHAnsi"/>
                <w:bCs/>
              </w:rPr>
              <w:t xml:space="preserve"> (until 12.24)</w:t>
            </w:r>
          </w:p>
        </w:tc>
      </w:tr>
      <w:tr w:rsidR="007205C3" w14:paraId="0D97787C" w14:textId="77777777" w:rsidTr="00983AE5">
        <w:tc>
          <w:tcPr>
            <w:tcW w:w="3184" w:type="dxa"/>
          </w:tcPr>
          <w:p w14:paraId="4CE2CAE7" w14:textId="540C80D1" w:rsidR="007205C3" w:rsidRDefault="00C54FCB" w:rsidP="002E49B5">
            <w:pPr>
              <w:spacing w:before="0" w:after="0" w:line="240" w:lineRule="auto"/>
              <w:rPr>
                <w:rFonts w:cstheme="minorHAnsi"/>
                <w:bCs/>
              </w:rPr>
            </w:pPr>
            <w:r>
              <w:rPr>
                <w:rFonts w:cstheme="minorHAnsi"/>
                <w:bCs/>
              </w:rPr>
              <w:t>Christine Stafford</w:t>
            </w:r>
          </w:p>
          <w:p w14:paraId="29AFB078" w14:textId="733DCB3D" w:rsidR="00664004" w:rsidRDefault="00664004" w:rsidP="002E49B5">
            <w:pPr>
              <w:spacing w:before="0" w:after="0" w:line="240" w:lineRule="auto"/>
              <w:rPr>
                <w:rFonts w:cstheme="minorHAnsi"/>
                <w:bCs/>
              </w:rPr>
            </w:pPr>
            <w:r>
              <w:rPr>
                <w:rFonts w:cstheme="minorHAnsi"/>
                <w:bCs/>
              </w:rPr>
              <w:t>Chris Kenny (from 01.25)</w:t>
            </w:r>
          </w:p>
        </w:tc>
        <w:tc>
          <w:tcPr>
            <w:tcW w:w="3260" w:type="dxa"/>
          </w:tcPr>
          <w:p w14:paraId="7CE630E8" w14:textId="4CE8DDED" w:rsidR="007205C3" w:rsidRDefault="007205C3" w:rsidP="002E49B5">
            <w:pPr>
              <w:spacing w:before="0" w:after="0" w:line="240" w:lineRule="auto"/>
              <w:rPr>
                <w:rFonts w:cstheme="minorHAnsi"/>
                <w:bCs/>
              </w:rPr>
            </w:pPr>
            <w:r>
              <w:rPr>
                <w:rFonts w:cstheme="minorHAnsi"/>
                <w:bCs/>
              </w:rPr>
              <w:t>Marc Brooks</w:t>
            </w:r>
            <w:r w:rsidR="00147535">
              <w:rPr>
                <w:rFonts w:cstheme="minorHAnsi"/>
                <w:bCs/>
              </w:rPr>
              <w:t xml:space="preserve"> </w:t>
            </w:r>
            <w:r w:rsidR="002113E4">
              <w:rPr>
                <w:rFonts w:cstheme="minorHAnsi"/>
                <w:bCs/>
              </w:rPr>
              <w:t>(until 07.24)</w:t>
            </w:r>
          </w:p>
          <w:p w14:paraId="5411A9B5" w14:textId="1D4F9B4D" w:rsidR="002113E4" w:rsidRDefault="002113E4" w:rsidP="002E49B5">
            <w:pPr>
              <w:spacing w:before="0" w:after="0" w:line="240" w:lineRule="auto"/>
              <w:rPr>
                <w:rFonts w:cstheme="minorHAnsi"/>
                <w:bCs/>
              </w:rPr>
            </w:pPr>
            <w:r>
              <w:rPr>
                <w:rFonts w:cstheme="minorHAnsi"/>
                <w:bCs/>
              </w:rPr>
              <w:t xml:space="preserve">Nicole Murdock (from </w:t>
            </w:r>
            <w:r w:rsidR="00147535">
              <w:rPr>
                <w:rFonts w:cstheme="minorHAnsi"/>
                <w:bCs/>
              </w:rPr>
              <w:t>08.24)</w:t>
            </w:r>
          </w:p>
        </w:tc>
        <w:tc>
          <w:tcPr>
            <w:tcW w:w="3403" w:type="dxa"/>
          </w:tcPr>
          <w:p w14:paraId="44A874D9" w14:textId="4F3EFB95" w:rsidR="007205C3" w:rsidRDefault="00BC235D" w:rsidP="002E49B5">
            <w:pPr>
              <w:spacing w:before="0" w:after="0" w:line="240" w:lineRule="auto"/>
              <w:rPr>
                <w:rFonts w:cstheme="minorHAnsi"/>
                <w:bCs/>
              </w:rPr>
            </w:pPr>
            <w:r>
              <w:rPr>
                <w:rFonts w:cstheme="minorHAnsi"/>
                <w:bCs/>
              </w:rPr>
              <w:t xml:space="preserve">Muhammad </w:t>
            </w:r>
            <w:r w:rsidR="00C1385D">
              <w:rPr>
                <w:rFonts w:cstheme="minorHAnsi"/>
                <w:bCs/>
              </w:rPr>
              <w:t>Zafar (from 03.25)</w:t>
            </w:r>
          </w:p>
        </w:tc>
      </w:tr>
      <w:tr w:rsidR="007205C3" w14:paraId="74A6C6EF" w14:textId="77777777" w:rsidTr="00983AE5">
        <w:tc>
          <w:tcPr>
            <w:tcW w:w="3184" w:type="dxa"/>
          </w:tcPr>
          <w:p w14:paraId="06F5E3C0" w14:textId="01167633" w:rsidR="00527642" w:rsidRDefault="00664004" w:rsidP="002E49B5">
            <w:pPr>
              <w:spacing w:before="0" w:after="0" w:line="240" w:lineRule="auto"/>
              <w:rPr>
                <w:rFonts w:cstheme="minorHAnsi"/>
                <w:bCs/>
              </w:rPr>
            </w:pPr>
            <w:r>
              <w:rPr>
                <w:rFonts w:cstheme="minorHAnsi"/>
                <w:bCs/>
              </w:rPr>
              <w:t>Nicole Murdock (from 01.25)</w:t>
            </w:r>
          </w:p>
        </w:tc>
        <w:tc>
          <w:tcPr>
            <w:tcW w:w="3260" w:type="dxa"/>
          </w:tcPr>
          <w:p w14:paraId="108B78D8" w14:textId="6FF4536B" w:rsidR="007205C3" w:rsidRDefault="007205C3" w:rsidP="002E49B5">
            <w:pPr>
              <w:spacing w:before="0" w:after="0" w:line="240" w:lineRule="auto"/>
              <w:rPr>
                <w:rFonts w:cstheme="minorHAnsi"/>
                <w:bCs/>
              </w:rPr>
            </w:pPr>
            <w:r>
              <w:rPr>
                <w:rFonts w:cstheme="minorHAnsi"/>
                <w:bCs/>
              </w:rPr>
              <w:t>Jevon Khakh</w:t>
            </w:r>
            <w:r w:rsidR="00990563">
              <w:rPr>
                <w:rFonts w:cstheme="minorHAnsi"/>
                <w:bCs/>
              </w:rPr>
              <w:t xml:space="preserve"> (until</w:t>
            </w:r>
            <w:r w:rsidR="00C05ED6">
              <w:rPr>
                <w:rFonts w:cstheme="minorHAnsi"/>
                <w:bCs/>
              </w:rPr>
              <w:t xml:space="preserve"> 11.24</w:t>
            </w:r>
            <w:r w:rsidR="00990563">
              <w:rPr>
                <w:rFonts w:cstheme="minorHAnsi"/>
                <w:bCs/>
              </w:rPr>
              <w:t>)</w:t>
            </w:r>
          </w:p>
          <w:p w14:paraId="222EE0CB" w14:textId="0C21ED2C" w:rsidR="00990563" w:rsidRDefault="00990563" w:rsidP="002E49B5">
            <w:pPr>
              <w:spacing w:before="0" w:after="0" w:line="240" w:lineRule="auto"/>
              <w:rPr>
                <w:rFonts w:cstheme="minorHAnsi"/>
                <w:bCs/>
              </w:rPr>
            </w:pPr>
            <w:r>
              <w:rPr>
                <w:rFonts w:cstheme="minorHAnsi"/>
                <w:bCs/>
              </w:rPr>
              <w:t xml:space="preserve">Kav Hundle (from </w:t>
            </w:r>
            <w:r w:rsidR="00C05ED6">
              <w:rPr>
                <w:rFonts w:cstheme="minorHAnsi"/>
                <w:bCs/>
              </w:rPr>
              <w:t>11.24</w:t>
            </w:r>
            <w:r>
              <w:rPr>
                <w:rFonts w:cstheme="minorHAnsi"/>
                <w:bCs/>
              </w:rPr>
              <w:t>)</w:t>
            </w:r>
          </w:p>
        </w:tc>
        <w:tc>
          <w:tcPr>
            <w:tcW w:w="3403" w:type="dxa"/>
          </w:tcPr>
          <w:p w14:paraId="7B728D61" w14:textId="77777777" w:rsidR="007205C3" w:rsidRDefault="007205C3" w:rsidP="002E49B5">
            <w:pPr>
              <w:spacing w:before="0" w:after="0" w:line="240" w:lineRule="auto"/>
              <w:rPr>
                <w:rFonts w:cstheme="minorHAnsi"/>
                <w:bCs/>
              </w:rPr>
            </w:pPr>
          </w:p>
        </w:tc>
      </w:tr>
    </w:tbl>
    <w:p w14:paraId="79B38A26" w14:textId="77777777" w:rsidR="000E146C" w:rsidRPr="004624E3" w:rsidRDefault="000E146C" w:rsidP="00900144">
      <w:pPr>
        <w:pStyle w:val="Heading3"/>
      </w:pPr>
      <w:r w:rsidRPr="004624E3">
        <w:lastRenderedPageBreak/>
        <w:t>Committee members who left during the financial year:</w:t>
      </w:r>
    </w:p>
    <w:p w14:paraId="4C2C3042" w14:textId="64C933DA" w:rsidR="00D418B7" w:rsidRDefault="000E146C" w:rsidP="00D418B7">
      <w:pPr>
        <w:spacing w:after="120"/>
        <w:ind w:left="357"/>
        <w:rPr>
          <w:rFonts w:cstheme="minorHAnsi"/>
          <w:bCs/>
        </w:rPr>
      </w:pPr>
      <w:r>
        <w:rPr>
          <w:rFonts w:cstheme="minorHAnsi"/>
          <w:b/>
        </w:rPr>
        <w:t>Ind</w:t>
      </w:r>
      <w:r w:rsidR="00387B55">
        <w:rPr>
          <w:rFonts w:cstheme="minorHAnsi"/>
          <w:b/>
        </w:rPr>
        <w:t>ependents</w:t>
      </w:r>
      <w:r w:rsidR="00653BA0">
        <w:rPr>
          <w:rFonts w:cstheme="minorHAnsi"/>
          <w:b/>
        </w:rPr>
        <w:t xml:space="preserve">: </w:t>
      </w:r>
      <w:r w:rsidR="000D5901" w:rsidRPr="00FF4C61">
        <w:rPr>
          <w:rFonts w:cstheme="minorHAnsi"/>
          <w:bCs/>
        </w:rPr>
        <w:t>Chris Mulim</w:t>
      </w:r>
      <w:r w:rsidR="00DD1A5E" w:rsidRPr="00FF4C61">
        <w:rPr>
          <w:rFonts w:cstheme="minorHAnsi"/>
          <w:bCs/>
        </w:rPr>
        <w:t>ba</w:t>
      </w:r>
      <w:r w:rsidR="00983AE5">
        <w:rPr>
          <w:rFonts w:cstheme="minorHAnsi"/>
          <w:bCs/>
        </w:rPr>
        <w:tab/>
      </w:r>
      <w:r w:rsidR="00983AE5">
        <w:rPr>
          <w:rFonts w:cstheme="minorHAnsi"/>
          <w:bCs/>
        </w:rPr>
        <w:tab/>
      </w:r>
      <w:r w:rsidR="00F97982">
        <w:rPr>
          <w:rFonts w:cstheme="minorHAnsi"/>
          <w:b/>
        </w:rPr>
        <w:t>IPA:</w:t>
      </w:r>
      <w:r w:rsidR="00F97982">
        <w:rPr>
          <w:rFonts w:cstheme="minorHAnsi"/>
          <w:bCs/>
        </w:rPr>
        <w:t xml:space="preserve"> Marc Brooks, Jevon </w:t>
      </w:r>
      <w:proofErr w:type="spellStart"/>
      <w:r w:rsidR="00F97982">
        <w:rPr>
          <w:rFonts w:cstheme="minorHAnsi"/>
          <w:bCs/>
        </w:rPr>
        <w:t>Khakh</w:t>
      </w:r>
      <w:proofErr w:type="spellEnd"/>
      <w:r w:rsidR="007140AC">
        <w:rPr>
          <w:rFonts w:cstheme="minorHAnsi"/>
          <w:bCs/>
        </w:rPr>
        <w:t>, John Broomhead</w:t>
      </w:r>
    </w:p>
    <w:p w14:paraId="74050552" w14:textId="77777777" w:rsidR="00D8498F" w:rsidRPr="004624E3" w:rsidRDefault="00D8498F" w:rsidP="00900144">
      <w:pPr>
        <w:pStyle w:val="Heading3"/>
      </w:pPr>
      <w:r w:rsidRPr="004624E3">
        <w:t>The Executive Committee</w:t>
      </w:r>
    </w:p>
    <w:p w14:paraId="7FAA2075" w14:textId="77777777" w:rsidR="00D8498F" w:rsidRPr="00D8498F" w:rsidRDefault="00D8498F" w:rsidP="00D418B7">
      <w:pPr>
        <w:spacing w:after="0"/>
        <w:ind w:left="357"/>
        <w:rPr>
          <w:color w:val="0072CE" w:themeColor="text1"/>
        </w:rPr>
      </w:pPr>
      <w:r w:rsidRPr="00D8498F">
        <w:rPr>
          <w:color w:val="0072CE" w:themeColor="text1"/>
        </w:rPr>
        <w:t>Community Pharmacy Lincolnshire Executive Committee consists of committee officers:</w:t>
      </w:r>
    </w:p>
    <w:p w14:paraId="3CAC2A81" w14:textId="77777777" w:rsidR="00D8498F" w:rsidRPr="00D8498F" w:rsidRDefault="00D8498F" w:rsidP="00D8498F">
      <w:pPr>
        <w:pStyle w:val="ListParagraph"/>
        <w:numPr>
          <w:ilvl w:val="0"/>
          <w:numId w:val="14"/>
        </w:numPr>
        <w:rPr>
          <w:color w:val="0072CE" w:themeColor="text1"/>
        </w:rPr>
      </w:pPr>
      <w:r w:rsidRPr="00D8498F">
        <w:rPr>
          <w:color w:val="0072CE" w:themeColor="text1"/>
        </w:rPr>
        <w:t>Paul Jenks, Chair</w:t>
      </w:r>
    </w:p>
    <w:p w14:paraId="42AF46FC" w14:textId="77777777" w:rsidR="00D43781" w:rsidRDefault="00D8498F" w:rsidP="00D8498F">
      <w:pPr>
        <w:pStyle w:val="ListParagraph"/>
        <w:numPr>
          <w:ilvl w:val="0"/>
          <w:numId w:val="14"/>
        </w:numPr>
        <w:rPr>
          <w:color w:val="0072CE" w:themeColor="text1"/>
        </w:rPr>
      </w:pPr>
      <w:r w:rsidRPr="00D8498F">
        <w:rPr>
          <w:color w:val="0072CE" w:themeColor="text1"/>
        </w:rPr>
        <w:t>Marc Brooks, Vice Chair</w:t>
      </w:r>
      <w:r w:rsidR="00147535">
        <w:rPr>
          <w:color w:val="0072CE" w:themeColor="text1"/>
        </w:rPr>
        <w:t xml:space="preserve"> (until 07.24)</w:t>
      </w:r>
    </w:p>
    <w:p w14:paraId="33E77666" w14:textId="188508CC" w:rsidR="00D8498F" w:rsidRPr="00D8498F" w:rsidRDefault="00C92065" w:rsidP="00D8498F">
      <w:pPr>
        <w:pStyle w:val="ListParagraph"/>
        <w:numPr>
          <w:ilvl w:val="0"/>
          <w:numId w:val="14"/>
        </w:numPr>
        <w:rPr>
          <w:color w:val="0072CE" w:themeColor="text1"/>
        </w:rPr>
      </w:pPr>
      <w:r>
        <w:rPr>
          <w:color w:val="0072CE" w:themeColor="text1"/>
        </w:rPr>
        <w:t>Blazej Jasnowski, Vice Chair (from 09.24)</w:t>
      </w:r>
    </w:p>
    <w:p w14:paraId="51B5F13C" w14:textId="77777777" w:rsidR="00D8498F" w:rsidRPr="00D8498F" w:rsidRDefault="00D8498F" w:rsidP="00D8498F">
      <w:pPr>
        <w:pStyle w:val="ListParagraph"/>
        <w:numPr>
          <w:ilvl w:val="0"/>
          <w:numId w:val="14"/>
        </w:numPr>
        <w:rPr>
          <w:color w:val="0072CE" w:themeColor="text1"/>
        </w:rPr>
      </w:pPr>
      <w:r w:rsidRPr="00D8498F">
        <w:rPr>
          <w:color w:val="0072CE" w:themeColor="text1"/>
        </w:rPr>
        <w:t xml:space="preserve">Chris Kenny, Treasurer </w:t>
      </w:r>
    </w:p>
    <w:p w14:paraId="4BF45DE4" w14:textId="2A37CC37" w:rsidR="00D8498F" w:rsidRPr="00D8498F" w:rsidRDefault="00D8498F" w:rsidP="00D418B7">
      <w:pPr>
        <w:spacing w:after="0"/>
        <w:rPr>
          <w:color w:val="0072CE" w:themeColor="text1"/>
        </w:rPr>
      </w:pPr>
      <w:r w:rsidRPr="00D8498F">
        <w:rPr>
          <w:color w:val="0072CE" w:themeColor="text1"/>
        </w:rPr>
        <w:t xml:space="preserve">The Executive Committee are supported by a </w:t>
      </w:r>
      <w:r w:rsidR="009B0F57">
        <w:rPr>
          <w:color w:val="0072CE" w:themeColor="text1"/>
        </w:rPr>
        <w:t xml:space="preserve">lead </w:t>
      </w:r>
      <w:r w:rsidRPr="00D8498F">
        <w:rPr>
          <w:color w:val="0072CE" w:themeColor="text1"/>
        </w:rPr>
        <w:t xml:space="preserve">member for governance </w:t>
      </w:r>
      <w:r w:rsidR="009B0F57">
        <w:rPr>
          <w:color w:val="0072CE" w:themeColor="text1"/>
        </w:rPr>
        <w:t xml:space="preserve">and designated supporting governance </w:t>
      </w:r>
      <w:r w:rsidR="00DF7AE6">
        <w:rPr>
          <w:color w:val="0072CE" w:themeColor="text1"/>
        </w:rPr>
        <w:t xml:space="preserve">representative </w:t>
      </w:r>
      <w:r w:rsidR="009B0F57">
        <w:rPr>
          <w:color w:val="0072CE" w:themeColor="text1"/>
        </w:rPr>
        <w:t>members</w:t>
      </w:r>
      <w:r w:rsidR="00DF7AE6">
        <w:rPr>
          <w:color w:val="0072CE" w:themeColor="text1"/>
        </w:rPr>
        <w:t>.</w:t>
      </w:r>
    </w:p>
    <w:p w14:paraId="78C2DE86" w14:textId="77777777" w:rsidR="00D8498F" w:rsidRDefault="00D8498F" w:rsidP="00D8498F">
      <w:pPr>
        <w:pStyle w:val="ListParagraph"/>
        <w:numPr>
          <w:ilvl w:val="0"/>
          <w:numId w:val="16"/>
        </w:numPr>
        <w:rPr>
          <w:color w:val="0072CE" w:themeColor="text1"/>
        </w:rPr>
      </w:pPr>
      <w:r w:rsidRPr="00D8498F">
        <w:rPr>
          <w:color w:val="0072CE" w:themeColor="text1"/>
        </w:rPr>
        <w:t>Robert Severn, Governance Lead</w:t>
      </w:r>
    </w:p>
    <w:p w14:paraId="42EAFA25" w14:textId="2AD32EB2" w:rsidR="009B0F57" w:rsidRDefault="009B0F57" w:rsidP="00D8498F">
      <w:pPr>
        <w:pStyle w:val="ListParagraph"/>
        <w:numPr>
          <w:ilvl w:val="0"/>
          <w:numId w:val="16"/>
        </w:numPr>
        <w:rPr>
          <w:color w:val="0072CE" w:themeColor="text1"/>
        </w:rPr>
      </w:pPr>
      <w:r>
        <w:rPr>
          <w:color w:val="0072CE" w:themeColor="text1"/>
        </w:rPr>
        <w:t xml:space="preserve">Christine Stafford, Governance </w:t>
      </w:r>
      <w:r w:rsidR="00DF7AE6">
        <w:rPr>
          <w:color w:val="0072CE" w:themeColor="text1"/>
        </w:rPr>
        <w:t>Representative</w:t>
      </w:r>
    </w:p>
    <w:p w14:paraId="6603C7CA" w14:textId="654513F3" w:rsidR="00DF7AE6" w:rsidRPr="00D8498F" w:rsidRDefault="00DF7AE6" w:rsidP="00D8498F">
      <w:pPr>
        <w:pStyle w:val="ListParagraph"/>
        <w:numPr>
          <w:ilvl w:val="0"/>
          <w:numId w:val="16"/>
        </w:numPr>
        <w:rPr>
          <w:color w:val="0072CE" w:themeColor="text1"/>
        </w:rPr>
      </w:pPr>
      <w:r>
        <w:rPr>
          <w:color w:val="0072CE" w:themeColor="text1"/>
        </w:rPr>
        <w:t>Chris Mulimba, Governance Representative</w:t>
      </w:r>
      <w:r w:rsidR="00D43781">
        <w:rPr>
          <w:color w:val="0072CE" w:themeColor="text1"/>
        </w:rPr>
        <w:t xml:space="preserve"> (until</w:t>
      </w:r>
      <w:r w:rsidR="000D5901">
        <w:rPr>
          <w:color w:val="0072CE" w:themeColor="text1"/>
        </w:rPr>
        <w:t xml:space="preserve"> 12.24)</w:t>
      </w:r>
    </w:p>
    <w:p w14:paraId="66DFADB1" w14:textId="77777777" w:rsidR="00D8498F" w:rsidRPr="00C33896" w:rsidRDefault="00D8498F" w:rsidP="00D8498F">
      <w:pPr>
        <w:pStyle w:val="Heading4"/>
        <w:rPr>
          <w:b/>
          <w:bCs/>
          <w:color w:val="0072CE" w:themeColor="text1"/>
        </w:rPr>
      </w:pPr>
      <w:r w:rsidRPr="00C33896">
        <w:rPr>
          <w:b/>
          <w:bCs/>
          <w:color w:val="0072CE" w:themeColor="text1"/>
        </w:rPr>
        <w:t>Non-Committee Member Employees</w:t>
      </w:r>
    </w:p>
    <w:p w14:paraId="2E17589C" w14:textId="77777777" w:rsidR="00D8498F" w:rsidRPr="00D8498F" w:rsidRDefault="00D8498F" w:rsidP="00D8498F">
      <w:pPr>
        <w:pStyle w:val="ListParagraph"/>
        <w:numPr>
          <w:ilvl w:val="0"/>
          <w:numId w:val="13"/>
        </w:numPr>
        <w:rPr>
          <w:color w:val="0072CE" w:themeColor="text1"/>
        </w:rPr>
      </w:pPr>
      <w:r w:rsidRPr="00D8498F">
        <w:rPr>
          <w:color w:val="0072CE" w:themeColor="text1"/>
        </w:rPr>
        <w:t>Tracey Latham-Green, Chief Officer (0.6FTE)</w:t>
      </w:r>
    </w:p>
    <w:p w14:paraId="6CA1B837" w14:textId="38C64812" w:rsidR="00D8498F" w:rsidRDefault="00D8498F" w:rsidP="00D8498F">
      <w:pPr>
        <w:pStyle w:val="ListParagraph"/>
        <w:numPr>
          <w:ilvl w:val="0"/>
          <w:numId w:val="13"/>
        </w:numPr>
        <w:rPr>
          <w:color w:val="0072CE" w:themeColor="text1"/>
        </w:rPr>
      </w:pPr>
      <w:r w:rsidRPr="00D8498F">
        <w:rPr>
          <w:color w:val="0072CE" w:themeColor="text1"/>
        </w:rPr>
        <w:t>Stuart Hellon, Services Implementation and Support Lead (0.3 FTE, fixed term contract 1</w:t>
      </w:r>
      <w:r w:rsidRPr="00D8498F">
        <w:rPr>
          <w:color w:val="0072CE" w:themeColor="text1"/>
          <w:vertAlign w:val="superscript"/>
        </w:rPr>
        <w:t>st</w:t>
      </w:r>
      <w:r w:rsidRPr="00D8498F">
        <w:rPr>
          <w:color w:val="0072CE" w:themeColor="text1"/>
        </w:rPr>
        <w:t xml:space="preserve"> April 202</w:t>
      </w:r>
      <w:r w:rsidR="00C92065">
        <w:rPr>
          <w:color w:val="0072CE" w:themeColor="text1"/>
        </w:rPr>
        <w:t>4</w:t>
      </w:r>
      <w:r w:rsidRPr="00D8498F">
        <w:rPr>
          <w:color w:val="0072CE" w:themeColor="text1"/>
        </w:rPr>
        <w:t xml:space="preserve"> – 31</w:t>
      </w:r>
      <w:r w:rsidRPr="00D8498F">
        <w:rPr>
          <w:color w:val="0072CE" w:themeColor="text1"/>
          <w:vertAlign w:val="superscript"/>
        </w:rPr>
        <w:t>st</w:t>
      </w:r>
      <w:r w:rsidRPr="00D8498F">
        <w:rPr>
          <w:color w:val="0072CE" w:themeColor="text1"/>
        </w:rPr>
        <w:t xml:space="preserve"> March 202</w:t>
      </w:r>
      <w:r w:rsidR="00C92065">
        <w:rPr>
          <w:color w:val="0072CE" w:themeColor="text1"/>
        </w:rPr>
        <w:t>5</w:t>
      </w:r>
      <w:r w:rsidRPr="00D8498F">
        <w:rPr>
          <w:color w:val="0072CE" w:themeColor="text1"/>
        </w:rPr>
        <w:t>)</w:t>
      </w:r>
    </w:p>
    <w:p w14:paraId="21EA2636" w14:textId="53F2A8DC" w:rsidR="00234776" w:rsidRPr="00A50DFC" w:rsidRDefault="007A4F93" w:rsidP="00D8498F">
      <w:pPr>
        <w:pStyle w:val="ListParagraph"/>
        <w:numPr>
          <w:ilvl w:val="0"/>
          <w:numId w:val="13"/>
        </w:numPr>
        <w:rPr>
          <w:color w:val="0072CE" w:themeColor="text1"/>
        </w:rPr>
      </w:pPr>
      <w:r w:rsidRPr="00A50DFC">
        <w:rPr>
          <w:color w:val="0072CE" w:themeColor="text1"/>
        </w:rPr>
        <w:t>Natalie Kenny</w:t>
      </w:r>
      <w:r w:rsidR="00676D8E" w:rsidRPr="00A50DFC">
        <w:rPr>
          <w:color w:val="0072CE" w:themeColor="text1"/>
        </w:rPr>
        <w:t xml:space="preserve">, </w:t>
      </w:r>
      <w:r w:rsidR="00234776" w:rsidRPr="00A50DFC">
        <w:rPr>
          <w:color w:val="0072CE" w:themeColor="text1"/>
        </w:rPr>
        <w:t xml:space="preserve">Administrator </w:t>
      </w:r>
      <w:r w:rsidR="00970097" w:rsidRPr="00A50DFC">
        <w:rPr>
          <w:color w:val="0072CE" w:themeColor="text1"/>
        </w:rPr>
        <w:t>(0.27FTE – 10 hours per week)</w:t>
      </w:r>
    </w:p>
    <w:p w14:paraId="13250E78" w14:textId="77777777" w:rsidR="00D8498F" w:rsidRDefault="00D8498F" w:rsidP="00D8498F">
      <w:pPr>
        <w:pStyle w:val="ListParagraph"/>
      </w:pPr>
    </w:p>
    <w:p w14:paraId="0FA8C812" w14:textId="77777777" w:rsidR="00D8498F" w:rsidRPr="004624E3" w:rsidRDefault="00D8498F" w:rsidP="00900144">
      <w:pPr>
        <w:pStyle w:val="Heading3"/>
      </w:pPr>
      <w:r w:rsidRPr="004624E3">
        <w:t>Governance</w:t>
      </w:r>
    </w:p>
    <w:p w14:paraId="58441DA2" w14:textId="2A09CF43" w:rsidR="00D8498F" w:rsidRDefault="00D8498F" w:rsidP="005E370A">
      <w:pPr>
        <w:jc w:val="both"/>
        <w:rPr>
          <w:color w:val="0072CE" w:themeColor="text1"/>
        </w:rPr>
      </w:pPr>
      <w:r w:rsidRPr="00D8498F">
        <w:rPr>
          <w:color w:val="0072CE" w:themeColor="text1"/>
        </w:rPr>
        <w:t xml:space="preserve">The Committee operates in line with its constitution and related policies, as shown on the website under </w:t>
      </w:r>
      <w:hyperlink r:id="rId11" w:history="1">
        <w:r w:rsidRPr="00D8498F">
          <w:rPr>
            <w:rStyle w:val="Hyperlink"/>
            <w:rFonts w:cstheme="minorHAnsi"/>
            <w:bCs/>
            <w:color w:val="0072CE" w:themeColor="text1"/>
          </w:rPr>
          <w:t>Committee Governance</w:t>
        </w:r>
      </w:hyperlink>
      <w:r w:rsidR="00906792">
        <w:rPr>
          <w:rStyle w:val="Hyperlink"/>
          <w:rFonts w:cstheme="minorHAnsi"/>
          <w:bCs/>
          <w:color w:val="0072CE" w:themeColor="text1"/>
        </w:rPr>
        <w:t xml:space="preserve">. </w:t>
      </w:r>
      <w:r w:rsidR="00906792">
        <w:rPr>
          <w:color w:val="0072CE" w:themeColor="text1"/>
        </w:rPr>
        <w:t>To further strengthen governance, the LPC voted to adopt the Community Pharmacy England Code of Conduct and Governance Framework as from 1</w:t>
      </w:r>
      <w:r w:rsidR="00906792" w:rsidRPr="005801BF">
        <w:rPr>
          <w:color w:val="0072CE" w:themeColor="text1"/>
          <w:vertAlign w:val="superscript"/>
        </w:rPr>
        <w:t>st</w:t>
      </w:r>
      <w:r w:rsidR="00906792">
        <w:rPr>
          <w:color w:val="0072CE" w:themeColor="text1"/>
        </w:rPr>
        <w:t xml:space="preserve"> April 2024, at its March 2024 meeting. </w:t>
      </w:r>
      <w:r w:rsidR="007B4D66">
        <w:rPr>
          <w:color w:val="0072CE" w:themeColor="text1"/>
        </w:rPr>
        <w:t>A</w:t>
      </w:r>
      <w:r w:rsidR="00FE58FA">
        <w:rPr>
          <w:color w:val="0072CE" w:themeColor="text1"/>
        </w:rPr>
        <w:t xml:space="preserve"> </w:t>
      </w:r>
      <w:r w:rsidR="0076500F">
        <w:rPr>
          <w:color w:val="0072CE" w:themeColor="text1"/>
        </w:rPr>
        <w:t>governance committee</w:t>
      </w:r>
      <w:r w:rsidR="00906792">
        <w:rPr>
          <w:color w:val="0072CE" w:themeColor="text1"/>
        </w:rPr>
        <w:t xml:space="preserve"> </w:t>
      </w:r>
      <w:r w:rsidR="007B4D66">
        <w:rPr>
          <w:color w:val="0072CE" w:themeColor="text1"/>
        </w:rPr>
        <w:t xml:space="preserve">is in place </w:t>
      </w:r>
      <w:r w:rsidR="00906792">
        <w:rPr>
          <w:color w:val="0072CE" w:themeColor="text1"/>
        </w:rPr>
        <w:t>made up of the governance lead and governance representatives above</w:t>
      </w:r>
      <w:r w:rsidR="0076500F">
        <w:rPr>
          <w:color w:val="0072CE" w:themeColor="text1"/>
        </w:rPr>
        <w:t xml:space="preserve">, which is activated when </w:t>
      </w:r>
      <w:r w:rsidR="007B4D66">
        <w:rPr>
          <w:color w:val="0072CE" w:themeColor="text1"/>
        </w:rPr>
        <w:t>needed.</w:t>
      </w:r>
      <w:r w:rsidRPr="00D8498F">
        <w:rPr>
          <w:color w:val="0072CE" w:themeColor="text1"/>
        </w:rPr>
        <w:t xml:space="preserve"> Members are required to declare any conflicts of interest and ensure these declarations are updated</w:t>
      </w:r>
      <w:r w:rsidR="007B4D66">
        <w:rPr>
          <w:color w:val="0072CE" w:themeColor="text1"/>
        </w:rPr>
        <w:t xml:space="preserve"> regularly</w:t>
      </w:r>
      <w:r w:rsidRPr="00D8498F">
        <w:rPr>
          <w:color w:val="0072CE" w:themeColor="text1"/>
        </w:rPr>
        <w:t>.  Declaration of Interest (DOI) forms for each committee member are available on our website. The Chair ensures members declare any conflicts of interest relating to specific agenda items at the start of each meeting. Members with relevant conflicts for items on the agenda are excluded from voting and in the event of this occurring, their voting exclusion and conflict is noted in the minutes.</w:t>
      </w:r>
    </w:p>
    <w:p w14:paraId="4831AD10" w14:textId="730822EA" w:rsidR="00D8498F" w:rsidRPr="00A3008E" w:rsidRDefault="00D8498F" w:rsidP="00E20A15">
      <w:pPr>
        <w:pStyle w:val="Heading1"/>
      </w:pPr>
      <w:r w:rsidRPr="00C950E8">
        <w:lastRenderedPageBreak/>
        <w:t>WORK PROGRAMME &amp; PROGRESS IN 202</w:t>
      </w:r>
      <w:r w:rsidR="00C92065">
        <w:t>4</w:t>
      </w:r>
      <w:r w:rsidRPr="00C950E8">
        <w:t>/2</w:t>
      </w:r>
      <w:r w:rsidR="00C92065">
        <w:t>5</w:t>
      </w:r>
    </w:p>
    <w:p w14:paraId="34C91727" w14:textId="67533854" w:rsidR="00D8498F" w:rsidRPr="00C950E8" w:rsidRDefault="00D8498F" w:rsidP="00D8498F">
      <w:pPr>
        <w:rPr>
          <w:bCs/>
        </w:rPr>
      </w:pPr>
    </w:p>
    <w:p w14:paraId="218A12EE" w14:textId="77777777" w:rsidR="00D8498F" w:rsidRPr="004624E3" w:rsidRDefault="00D8498F" w:rsidP="00900144">
      <w:pPr>
        <w:pStyle w:val="Heading3"/>
      </w:pPr>
      <w:r w:rsidRPr="004624E3">
        <w:t>Meetings of the Committee</w:t>
      </w:r>
    </w:p>
    <w:p w14:paraId="4904ED2E" w14:textId="77777777" w:rsidR="00D8498F" w:rsidRPr="00CB5F7D" w:rsidRDefault="00D8498F" w:rsidP="00D8498F">
      <w:pPr>
        <w:pStyle w:val="Title"/>
        <w:rPr>
          <w:rFonts w:ascii="Arial" w:hAnsi="Arial" w:cs="Arial"/>
          <w:bCs w:val="0"/>
          <w:i/>
          <w:iCs/>
          <w:sz w:val="22"/>
          <w:u w:val="single"/>
        </w:rPr>
      </w:pPr>
    </w:p>
    <w:p w14:paraId="361F7D8D" w14:textId="606832F5" w:rsidR="004F6395" w:rsidRDefault="00D8498F" w:rsidP="008A2F84">
      <w:pPr>
        <w:spacing w:after="0"/>
        <w:jc w:val="both"/>
      </w:pPr>
      <w:r w:rsidRPr="00C950E8">
        <w:t>During the year, the Committee has met on</w:t>
      </w:r>
      <w:r>
        <w:t xml:space="preserve"> four occasions</w:t>
      </w:r>
      <w:r w:rsidRPr="00C950E8">
        <w:t xml:space="preserve">.  </w:t>
      </w:r>
      <w:r>
        <w:t xml:space="preserve">To ensure maximum economy, efficiency and effectiveness, the committee held four quarterly meetings </w:t>
      </w:r>
      <w:r w:rsidR="00430C91">
        <w:t>this</w:t>
      </w:r>
      <w:r>
        <w:t xml:space="preserve"> year</w:t>
      </w:r>
      <w:r w:rsidR="00B46184">
        <w:t>.</w:t>
      </w:r>
      <w:r w:rsidR="00EE5926">
        <w:t xml:space="preserve"> </w:t>
      </w:r>
      <w:r>
        <w:t xml:space="preserve">Details of </w:t>
      </w:r>
      <w:hyperlink r:id="rId12" w:history="1">
        <w:r w:rsidRPr="00C16AF5">
          <w:rPr>
            <w:rStyle w:val="Hyperlink"/>
          </w:rPr>
          <w:t>Committee Meetings</w:t>
        </w:r>
      </w:hyperlink>
      <w:r w:rsidRPr="00C16AF5">
        <w:t xml:space="preserve"> can be found on the websi</w:t>
      </w:r>
      <w:r>
        <w:t xml:space="preserve">te. Committee Members </w:t>
      </w:r>
      <w:r w:rsidRPr="00C950E8">
        <w:t>are required to attend the LPC meetings regularly</w:t>
      </w:r>
      <w:r>
        <w:t xml:space="preserve"> as per the constitution, which is available on the website</w:t>
      </w:r>
      <w:r w:rsidRPr="00C950E8">
        <w:t xml:space="preserve">. </w:t>
      </w:r>
      <w:r>
        <w:t xml:space="preserve"> </w:t>
      </w:r>
      <w:r w:rsidRPr="00C950E8">
        <w:t>It is LPC policy that members who are working on behalf of the LPC should not be</w:t>
      </w:r>
      <w:r>
        <w:t xml:space="preserve"> financially disadvantaged</w:t>
      </w:r>
      <w:r w:rsidRPr="00C950E8">
        <w:t xml:space="preserve"> for</w:t>
      </w:r>
      <w:r>
        <w:t xml:space="preserve"> </w:t>
      </w:r>
      <w:r w:rsidRPr="00C950E8">
        <w:t xml:space="preserve">performing those activities on behalf of pharmacy contractors. A copy of member’s </w:t>
      </w:r>
      <w:r>
        <w:t xml:space="preserve">meeting </w:t>
      </w:r>
      <w:r w:rsidRPr="00C950E8">
        <w:t>attendance</w:t>
      </w:r>
      <w:r>
        <w:t xml:space="preserve"> and expenses claims</w:t>
      </w:r>
      <w:r w:rsidRPr="00C950E8">
        <w:t xml:space="preserve"> is detailed below</w:t>
      </w:r>
      <w:r>
        <w:t>. Please note, backfill is sometimes claimed by members for work outside of meeting dates, for duties such as MP visit attendance, governance related work or Market Entry related paperwork. The Chair and Treasurer receive a separate, flat rate, remuneration to cover regular work completed outside of committee meetings as noted in the accounts.</w:t>
      </w:r>
    </w:p>
    <w:tbl>
      <w:tblPr>
        <w:tblW w:w="9923" w:type="dxa"/>
        <w:tblInd w:w="-5" w:type="dxa"/>
        <w:tblLayout w:type="fixed"/>
        <w:tblLook w:val="04A0" w:firstRow="1" w:lastRow="0" w:firstColumn="1" w:lastColumn="0" w:noHBand="0" w:noVBand="1"/>
      </w:tblPr>
      <w:tblGrid>
        <w:gridCol w:w="400"/>
        <w:gridCol w:w="1301"/>
        <w:gridCol w:w="284"/>
        <w:gridCol w:w="400"/>
        <w:gridCol w:w="1584"/>
        <w:gridCol w:w="523"/>
        <w:gridCol w:w="318"/>
        <w:gridCol w:w="205"/>
        <w:gridCol w:w="279"/>
        <w:gridCol w:w="244"/>
        <w:gridCol w:w="523"/>
        <w:gridCol w:w="9"/>
        <w:gridCol w:w="756"/>
        <w:gridCol w:w="400"/>
        <w:gridCol w:w="684"/>
        <w:gridCol w:w="1171"/>
        <w:gridCol w:w="647"/>
        <w:gridCol w:w="195"/>
      </w:tblGrid>
      <w:tr w:rsidR="007A06A3" w:rsidRPr="009875C3" w14:paraId="49338CC9" w14:textId="77777777" w:rsidTr="00A71383">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7317B" w14:textId="77777777" w:rsidR="00D8498F" w:rsidRPr="007A06A3" w:rsidRDefault="00D8498F" w:rsidP="00900144">
            <w:pPr>
              <w:pStyle w:val="Heading3"/>
            </w:pPr>
            <w:r w:rsidRPr="007A06A3">
              <w:t>Name</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A21D76" w14:textId="77777777" w:rsidR="00D8498F" w:rsidRPr="007A06A3" w:rsidRDefault="00D8498F" w:rsidP="00900144">
            <w:pPr>
              <w:pStyle w:val="Heading3"/>
              <w:rPr>
                <w:rFonts w:cstheme="minorHAnsi"/>
              </w:rPr>
            </w:pPr>
            <w:r w:rsidRPr="007A06A3">
              <w:t>Role</w:t>
            </w:r>
          </w:p>
        </w:tc>
        <w:tc>
          <w:tcPr>
            <w:tcW w:w="209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25139A4" w14:textId="7CCB8C9D" w:rsidR="00D8498F" w:rsidRPr="007A06A3" w:rsidRDefault="00D8498F" w:rsidP="00900144">
            <w:pPr>
              <w:pStyle w:val="Heading3"/>
            </w:pPr>
            <w:r w:rsidRPr="007A06A3">
              <w:t xml:space="preserve">Attendance </w:t>
            </w:r>
          </w:p>
        </w:tc>
        <w:tc>
          <w:tcPr>
            <w:tcW w:w="3862" w:type="dxa"/>
            <w:gridSpan w:val="7"/>
            <w:tcBorders>
              <w:top w:val="single" w:sz="4" w:space="0" w:color="auto"/>
              <w:left w:val="nil"/>
              <w:bottom w:val="single" w:sz="4" w:space="0" w:color="auto"/>
              <w:right w:val="single" w:sz="4" w:space="0" w:color="auto"/>
            </w:tcBorders>
            <w:shd w:val="clear" w:color="auto" w:fill="auto"/>
            <w:noWrap/>
            <w:vAlign w:val="bottom"/>
            <w:hideMark/>
          </w:tcPr>
          <w:p w14:paraId="311D397F" w14:textId="77777777" w:rsidR="00D8498F" w:rsidRPr="007A06A3" w:rsidRDefault="00D8498F" w:rsidP="00900144">
            <w:pPr>
              <w:pStyle w:val="Heading3"/>
            </w:pPr>
            <w:r w:rsidRPr="007A06A3">
              <w:t>Expenses</w:t>
            </w:r>
          </w:p>
        </w:tc>
      </w:tr>
      <w:tr w:rsidR="007A06A3" w:rsidRPr="009875C3" w14:paraId="1A63ACAC" w14:textId="77777777" w:rsidTr="00A71383">
        <w:trPr>
          <w:cantSplit/>
          <w:trHeight w:hRule="exact" w:val="186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CD814" w14:textId="77777777" w:rsidR="00D8498F" w:rsidRPr="00734632" w:rsidRDefault="00D8498F" w:rsidP="00900144">
            <w:pPr>
              <w:pStyle w:val="Heading3"/>
              <w:rPr>
                <w:sz w:val="22"/>
                <w:szCs w:val="22"/>
              </w:rPr>
            </w:pPr>
            <w:r w:rsidRPr="00734632">
              <w:rPr>
                <w:sz w:val="22"/>
                <w:szCs w:val="22"/>
              </w:rPr>
              <w:t> </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EA6808" w14:textId="77777777" w:rsidR="00D8498F" w:rsidRPr="00734632" w:rsidRDefault="00D8498F" w:rsidP="00900144">
            <w:pPr>
              <w:pStyle w:val="Heading3"/>
              <w:rPr>
                <w:sz w:val="22"/>
                <w:szCs w:val="22"/>
              </w:rPr>
            </w:pPr>
            <w:r w:rsidRPr="00734632">
              <w:rPr>
                <w:sz w:val="22"/>
                <w:szCs w:val="22"/>
              </w:rPr>
              <w:t> </w:t>
            </w:r>
          </w:p>
        </w:tc>
        <w:tc>
          <w:tcPr>
            <w:tcW w:w="5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A5E2E7" w14:textId="13F08E86" w:rsidR="00D8498F" w:rsidRPr="00734632" w:rsidRDefault="004C6AC3" w:rsidP="00900144">
            <w:pPr>
              <w:pStyle w:val="Heading3"/>
              <w:rPr>
                <w:sz w:val="22"/>
                <w:szCs w:val="22"/>
              </w:rPr>
            </w:pPr>
            <w:r w:rsidRPr="00734632">
              <w:rPr>
                <w:sz w:val="22"/>
                <w:szCs w:val="22"/>
              </w:rPr>
              <w:t>20</w:t>
            </w:r>
            <w:r w:rsidR="00E16788" w:rsidRPr="00734632">
              <w:rPr>
                <w:sz w:val="22"/>
                <w:szCs w:val="22"/>
              </w:rPr>
              <w:t xml:space="preserve"> June </w:t>
            </w:r>
            <w:r w:rsidR="00D8498F" w:rsidRPr="00734632">
              <w:rPr>
                <w:sz w:val="22"/>
                <w:szCs w:val="22"/>
              </w:rPr>
              <w:t>All day</w:t>
            </w:r>
          </w:p>
        </w:tc>
        <w:tc>
          <w:tcPr>
            <w:tcW w:w="52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BFEBC9D" w14:textId="4B3B96A9" w:rsidR="00D8498F" w:rsidRPr="00734632" w:rsidRDefault="00423F97" w:rsidP="00900144">
            <w:pPr>
              <w:pStyle w:val="Heading3"/>
              <w:rPr>
                <w:sz w:val="22"/>
                <w:szCs w:val="22"/>
              </w:rPr>
            </w:pPr>
            <w:r w:rsidRPr="00734632">
              <w:rPr>
                <w:sz w:val="22"/>
                <w:szCs w:val="22"/>
              </w:rPr>
              <w:t>2</w:t>
            </w:r>
            <w:r w:rsidR="004C6AC3" w:rsidRPr="00734632">
              <w:rPr>
                <w:sz w:val="22"/>
                <w:szCs w:val="22"/>
              </w:rPr>
              <w:t>6</w:t>
            </w:r>
            <w:r w:rsidR="00D8498F" w:rsidRPr="00734632">
              <w:rPr>
                <w:sz w:val="22"/>
                <w:szCs w:val="22"/>
              </w:rPr>
              <w:t>-Sep</w:t>
            </w:r>
            <w:r w:rsidR="004C6AC3" w:rsidRPr="00734632">
              <w:rPr>
                <w:sz w:val="22"/>
                <w:szCs w:val="22"/>
              </w:rPr>
              <w:t xml:space="preserve"> </w:t>
            </w:r>
            <w:r w:rsidR="00F04F2C" w:rsidRPr="00734632">
              <w:rPr>
                <w:sz w:val="22"/>
                <w:szCs w:val="22"/>
              </w:rPr>
              <w:t>All</w:t>
            </w:r>
            <w:r w:rsidR="006C65D5" w:rsidRPr="00734632">
              <w:rPr>
                <w:sz w:val="22"/>
                <w:szCs w:val="22"/>
              </w:rPr>
              <w:t xml:space="preserve"> day</w:t>
            </w:r>
          </w:p>
        </w:tc>
        <w:tc>
          <w:tcPr>
            <w:tcW w:w="52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696C740" w14:textId="3FADD1DA" w:rsidR="00D8498F" w:rsidRPr="00734632" w:rsidRDefault="004C6AC3" w:rsidP="00900144">
            <w:pPr>
              <w:pStyle w:val="Heading3"/>
              <w:rPr>
                <w:sz w:val="22"/>
                <w:szCs w:val="22"/>
              </w:rPr>
            </w:pPr>
            <w:r w:rsidRPr="00734632">
              <w:rPr>
                <w:sz w:val="22"/>
                <w:szCs w:val="22"/>
              </w:rPr>
              <w:t xml:space="preserve">12 Dec </w:t>
            </w:r>
            <w:r w:rsidR="00D8498F" w:rsidRPr="00734632">
              <w:rPr>
                <w:sz w:val="22"/>
                <w:szCs w:val="22"/>
              </w:rPr>
              <w:t xml:space="preserve"> </w:t>
            </w:r>
            <w:r w:rsidRPr="00734632">
              <w:rPr>
                <w:sz w:val="22"/>
                <w:szCs w:val="22"/>
              </w:rPr>
              <w:t>All</w:t>
            </w:r>
            <w:r w:rsidR="00833A75" w:rsidRPr="00734632">
              <w:rPr>
                <w:sz w:val="22"/>
                <w:szCs w:val="22"/>
              </w:rPr>
              <w:t xml:space="preserve"> day </w:t>
            </w:r>
          </w:p>
        </w:tc>
        <w:tc>
          <w:tcPr>
            <w:tcW w:w="5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66B19A" w14:textId="1FB02DFC" w:rsidR="00D8498F" w:rsidRPr="00734632" w:rsidRDefault="00D8498F" w:rsidP="00900144">
            <w:pPr>
              <w:pStyle w:val="Heading3"/>
              <w:rPr>
                <w:sz w:val="22"/>
                <w:szCs w:val="22"/>
              </w:rPr>
            </w:pPr>
            <w:r w:rsidRPr="00734632">
              <w:rPr>
                <w:sz w:val="22"/>
                <w:szCs w:val="22"/>
              </w:rPr>
              <w:t>1</w:t>
            </w:r>
            <w:r w:rsidR="00F04F2C" w:rsidRPr="00734632">
              <w:rPr>
                <w:sz w:val="22"/>
                <w:szCs w:val="22"/>
              </w:rPr>
              <w:t>3</w:t>
            </w:r>
            <w:r w:rsidR="00E16788" w:rsidRPr="00734632">
              <w:rPr>
                <w:sz w:val="22"/>
                <w:szCs w:val="22"/>
              </w:rPr>
              <w:t>-Mar All day</w:t>
            </w:r>
          </w:p>
        </w:tc>
        <w:tc>
          <w:tcPr>
            <w:tcW w:w="1849" w:type="dxa"/>
            <w:gridSpan w:val="4"/>
            <w:tcBorders>
              <w:top w:val="single" w:sz="4" w:space="0" w:color="auto"/>
              <w:left w:val="nil"/>
              <w:bottom w:val="single" w:sz="4" w:space="0" w:color="auto"/>
              <w:right w:val="single" w:sz="4" w:space="0" w:color="auto"/>
            </w:tcBorders>
            <w:shd w:val="clear" w:color="auto" w:fill="auto"/>
            <w:vAlign w:val="center"/>
            <w:hideMark/>
          </w:tcPr>
          <w:p w14:paraId="5BB82222" w14:textId="77777777" w:rsidR="00D8498F" w:rsidRPr="00734632" w:rsidRDefault="00D8498F" w:rsidP="00900144">
            <w:pPr>
              <w:pStyle w:val="Heading3"/>
              <w:rPr>
                <w:sz w:val="22"/>
                <w:szCs w:val="22"/>
              </w:rPr>
            </w:pPr>
            <w:r w:rsidRPr="00734632">
              <w:rPr>
                <w:sz w:val="22"/>
                <w:szCs w:val="22"/>
              </w:rPr>
              <w:t>Backfill and Travel for Committee Meetings</w:t>
            </w:r>
          </w:p>
        </w:tc>
        <w:tc>
          <w:tcPr>
            <w:tcW w:w="2013" w:type="dxa"/>
            <w:gridSpan w:val="3"/>
            <w:tcBorders>
              <w:top w:val="single" w:sz="4" w:space="0" w:color="auto"/>
              <w:left w:val="nil"/>
              <w:bottom w:val="single" w:sz="4" w:space="0" w:color="auto"/>
              <w:right w:val="single" w:sz="4" w:space="0" w:color="auto"/>
            </w:tcBorders>
          </w:tcPr>
          <w:p w14:paraId="33032308" w14:textId="7360CBE7" w:rsidR="00D8498F" w:rsidRPr="00734632" w:rsidRDefault="00D8498F" w:rsidP="00900144">
            <w:pPr>
              <w:pStyle w:val="Heading3"/>
              <w:rPr>
                <w:sz w:val="22"/>
                <w:szCs w:val="22"/>
              </w:rPr>
            </w:pPr>
            <w:r w:rsidRPr="00734632">
              <w:rPr>
                <w:sz w:val="22"/>
                <w:szCs w:val="22"/>
              </w:rPr>
              <w:t>Backfill and Travel f</w:t>
            </w:r>
            <w:r w:rsidR="00734632" w:rsidRPr="00734632">
              <w:rPr>
                <w:sz w:val="22"/>
                <w:szCs w:val="22"/>
              </w:rPr>
              <w:t>or o</w:t>
            </w:r>
            <w:r w:rsidRPr="00734632">
              <w:rPr>
                <w:sz w:val="22"/>
                <w:szCs w:val="22"/>
              </w:rPr>
              <w:t xml:space="preserve">ther general work e.g. </w:t>
            </w:r>
            <w:r w:rsidR="00686EEF">
              <w:rPr>
                <w:sz w:val="22"/>
                <w:szCs w:val="22"/>
              </w:rPr>
              <w:t>CPE events</w:t>
            </w:r>
            <w:r w:rsidR="003062FB">
              <w:rPr>
                <w:sz w:val="22"/>
                <w:szCs w:val="22"/>
              </w:rPr>
              <w:t>/meetings</w:t>
            </w:r>
            <w:r w:rsidR="00686EEF">
              <w:rPr>
                <w:sz w:val="22"/>
                <w:szCs w:val="22"/>
              </w:rPr>
              <w:t xml:space="preserve">, </w:t>
            </w:r>
            <w:r w:rsidRPr="00734632">
              <w:rPr>
                <w:sz w:val="22"/>
                <w:szCs w:val="22"/>
              </w:rPr>
              <w:t>Market Entry, ICS related, regs, governance, PNA.*</w:t>
            </w:r>
          </w:p>
        </w:tc>
      </w:tr>
      <w:tr w:rsidR="007A06A3" w:rsidRPr="009875C3" w14:paraId="4CABD85B" w14:textId="77777777" w:rsidTr="00A71383">
        <w:trPr>
          <w:trHeight w:val="21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E3EFE3" w14:textId="77777777" w:rsidR="00D8498F" w:rsidRPr="009875C3" w:rsidRDefault="00D8498F" w:rsidP="009875C3">
            <w:pPr>
              <w:spacing w:before="0" w:after="0" w:line="240" w:lineRule="auto"/>
              <w:rPr>
                <w:rFonts w:eastAsia="Times New Roman" w:cs="Calibri"/>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76DA84" w14:textId="77777777" w:rsidR="00D8498F" w:rsidRPr="009875C3" w:rsidRDefault="00D8498F" w:rsidP="009875C3">
            <w:pPr>
              <w:spacing w:before="0" w:after="0" w:line="240" w:lineRule="auto"/>
              <w:rPr>
                <w:rFonts w:eastAsia="Times New Roman" w:cs="Calibri"/>
                <w:color w:val="000000"/>
                <w:sz w:val="18"/>
                <w:szCs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9C7F5" w14:textId="77777777" w:rsidR="00D8498F" w:rsidRPr="009875C3" w:rsidRDefault="00D8498F" w:rsidP="009875C3">
            <w:pPr>
              <w:spacing w:before="0" w:after="0" w:line="240" w:lineRule="auto"/>
              <w:jc w:val="center"/>
              <w:rPr>
                <w:rFonts w:cs="Arial"/>
                <w:color w:val="000000"/>
                <w:sz w:val="18"/>
                <w:szCs w:val="18"/>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68B8DB" w14:textId="77777777" w:rsidR="00D8498F" w:rsidRPr="009875C3" w:rsidRDefault="00D8498F" w:rsidP="009875C3">
            <w:pPr>
              <w:spacing w:before="0" w:after="0" w:line="240" w:lineRule="auto"/>
              <w:jc w:val="center"/>
              <w:rPr>
                <w:rFonts w:cs="Arial"/>
                <w:color w:val="000000"/>
                <w:sz w:val="18"/>
                <w:szCs w:val="18"/>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85B89" w14:textId="77777777" w:rsidR="00D8498F" w:rsidRPr="009875C3" w:rsidRDefault="00D8498F" w:rsidP="009875C3">
            <w:pPr>
              <w:spacing w:before="0" w:after="0" w:line="240" w:lineRule="auto"/>
              <w:jc w:val="center"/>
              <w:rPr>
                <w:rFonts w:cs="Arial"/>
                <w:color w:val="000000"/>
                <w:sz w:val="18"/>
                <w:szCs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7688" w14:textId="77777777" w:rsidR="00D8498F" w:rsidRPr="009875C3" w:rsidRDefault="00D8498F" w:rsidP="009875C3">
            <w:pPr>
              <w:spacing w:before="0" w:after="0" w:line="240" w:lineRule="auto"/>
              <w:jc w:val="center"/>
              <w:rPr>
                <w:rFonts w:cs="Arial"/>
                <w:color w:val="000000"/>
                <w:sz w:val="18"/>
                <w:szCs w:val="18"/>
              </w:rPr>
            </w:pPr>
          </w:p>
        </w:tc>
        <w:tc>
          <w:tcPr>
            <w:tcW w:w="1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CBF846" w14:textId="77777777" w:rsidR="00D8498F" w:rsidRPr="009875C3" w:rsidRDefault="00D8498F" w:rsidP="009875C3">
            <w:pPr>
              <w:spacing w:before="0" w:after="0" w:line="240" w:lineRule="auto"/>
              <w:jc w:val="right"/>
              <w:rPr>
                <w:rFonts w:eastAsia="Times New Roman" w:cs="Arial"/>
                <w:color w:val="000000"/>
                <w:sz w:val="18"/>
                <w:szCs w:val="18"/>
              </w:rPr>
            </w:pPr>
            <w:r w:rsidRPr="009875C3">
              <w:rPr>
                <w:rFonts w:cs="Arial"/>
                <w:color w:val="000000"/>
                <w:sz w:val="18"/>
                <w:szCs w:val="18"/>
              </w:rPr>
              <w:t>From Levy </w:t>
            </w:r>
          </w:p>
        </w:tc>
        <w:tc>
          <w:tcPr>
            <w:tcW w:w="1171" w:type="dxa"/>
            <w:tcBorders>
              <w:top w:val="single" w:sz="4" w:space="0" w:color="auto"/>
              <w:left w:val="single" w:sz="4" w:space="0" w:color="auto"/>
              <w:bottom w:val="single" w:sz="4" w:space="0" w:color="auto"/>
              <w:right w:val="single" w:sz="4" w:space="0" w:color="auto"/>
            </w:tcBorders>
            <w:vAlign w:val="center"/>
          </w:tcPr>
          <w:p w14:paraId="5B009076" w14:textId="77777777" w:rsidR="00D8498F" w:rsidRPr="009875C3" w:rsidRDefault="00D8498F" w:rsidP="009875C3">
            <w:pPr>
              <w:spacing w:before="0" w:after="0" w:line="240" w:lineRule="auto"/>
              <w:jc w:val="center"/>
              <w:rPr>
                <w:rFonts w:eastAsia="Times New Roman" w:cs="Arial"/>
                <w:color w:val="000000"/>
                <w:sz w:val="18"/>
                <w:szCs w:val="18"/>
              </w:rPr>
            </w:pPr>
            <w:r w:rsidRPr="009875C3">
              <w:rPr>
                <w:rFonts w:cs="Arial"/>
                <w:color w:val="000000"/>
                <w:sz w:val="18"/>
                <w:szCs w:val="18"/>
              </w:rPr>
              <w:t>From Levy</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3FB2E299" w14:textId="1F3D7EFA" w:rsidR="00D8498F" w:rsidRPr="009875C3" w:rsidRDefault="00D8498F" w:rsidP="009875C3">
            <w:pPr>
              <w:spacing w:before="0" w:after="0" w:line="240" w:lineRule="auto"/>
              <w:jc w:val="center"/>
              <w:rPr>
                <w:rFonts w:eastAsia="Times New Roman" w:cs="Arial"/>
                <w:color w:val="000000"/>
                <w:sz w:val="18"/>
                <w:szCs w:val="18"/>
              </w:rPr>
            </w:pPr>
            <w:r w:rsidRPr="009875C3">
              <w:rPr>
                <w:rFonts w:cs="Arial"/>
                <w:color w:val="000000"/>
                <w:sz w:val="18"/>
                <w:szCs w:val="18"/>
              </w:rPr>
              <w:t>NRF</w:t>
            </w:r>
          </w:p>
        </w:tc>
      </w:tr>
      <w:tr w:rsidR="001155E8" w:rsidRPr="004361AA" w14:paraId="1F4B8532" w14:textId="77777777" w:rsidTr="00D20A22">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E1133A" w14:textId="753CE669"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Paul Jenks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AB8398" w14:textId="3C6034D8"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Chair</w:t>
            </w:r>
          </w:p>
        </w:tc>
        <w:tc>
          <w:tcPr>
            <w:tcW w:w="52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EE42ACB"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424AA003" w14:textId="51D80F1F" w:rsidR="001155E8" w:rsidRPr="009875C3" w:rsidRDefault="001155E8" w:rsidP="001155E8">
            <w:pPr>
              <w:spacing w:before="0" w:after="0" w:line="240" w:lineRule="auto"/>
              <w:jc w:val="center"/>
              <w:rPr>
                <w:rFonts w:cs="Calibri"/>
                <w:color w:val="000000"/>
                <w:sz w:val="18"/>
                <w:szCs w:val="18"/>
              </w:rPr>
            </w:pPr>
            <w:r w:rsidRPr="009875C3">
              <w:rPr>
                <w:rFonts w:cs="Calibri"/>
                <w:color w:val="000000"/>
                <w:sz w:val="18"/>
                <w:szCs w:val="18"/>
              </w:rPr>
              <w:t> </w:t>
            </w:r>
          </w:p>
        </w:tc>
        <w:tc>
          <w:tcPr>
            <w:tcW w:w="52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43E96D14" w14:textId="68C8EB21" w:rsidR="001155E8" w:rsidRPr="009875C3" w:rsidRDefault="001155E8" w:rsidP="001155E8">
            <w:pPr>
              <w:spacing w:before="0" w:after="0" w:line="240" w:lineRule="auto"/>
              <w:jc w:val="center"/>
              <w:rPr>
                <w:rFonts w:cs="Calibri"/>
                <w:color w:val="000000"/>
                <w:sz w:val="18"/>
                <w:szCs w:val="18"/>
              </w:rPr>
            </w:pPr>
            <w:r w:rsidRPr="009875C3">
              <w:rPr>
                <w:rFonts w:cs="Calibri"/>
                <w:color w:val="000000"/>
                <w:sz w:val="18"/>
                <w:szCs w:val="18"/>
              </w:rPr>
              <w:t> </w:t>
            </w:r>
          </w:p>
        </w:tc>
        <w:tc>
          <w:tcPr>
            <w:tcW w:w="52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D0A77DF" w14:textId="7EF14D24" w:rsidR="001155E8" w:rsidRPr="009875C3" w:rsidRDefault="001155E8" w:rsidP="001155E8">
            <w:pPr>
              <w:spacing w:before="0" w:after="0" w:line="240" w:lineRule="auto"/>
              <w:jc w:val="center"/>
              <w:rPr>
                <w:rFonts w:cs="Calibri"/>
                <w:color w:val="000000"/>
                <w:sz w:val="18"/>
                <w:szCs w:val="18"/>
              </w:rPr>
            </w:pPr>
            <w:r w:rsidRPr="009875C3">
              <w:rPr>
                <w:rFonts w:cs="Calibri"/>
                <w:color w:val="000000"/>
                <w:sz w:val="18"/>
                <w:szCs w:val="18"/>
              </w:rPr>
              <w:t> </w:t>
            </w:r>
          </w:p>
        </w:tc>
        <w:tc>
          <w:tcPr>
            <w:tcW w:w="1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A59D86" w14:textId="4EF36686" w:rsidR="001155E8" w:rsidRPr="00950E89" w:rsidRDefault="00796537" w:rsidP="00A74E8A">
            <w:pPr>
              <w:spacing w:before="0" w:after="0" w:line="240" w:lineRule="auto"/>
              <w:jc w:val="right"/>
              <w:rPr>
                <w:rFonts w:eastAsia="Times New Roman" w:cs="Calibri"/>
                <w:color w:val="auto"/>
                <w:sz w:val="18"/>
                <w:szCs w:val="18"/>
                <w:u w:val="single"/>
              </w:rPr>
            </w:pPr>
            <w:r w:rsidRPr="00950E89">
              <w:rPr>
                <w:rFonts w:eastAsia="Times New Roman" w:cs="Calibri"/>
                <w:color w:val="auto"/>
                <w:sz w:val="18"/>
                <w:szCs w:val="18"/>
                <w:u w:val="single"/>
              </w:rPr>
              <w:t>£1045.</w:t>
            </w:r>
            <w:r w:rsidR="00A74E8A" w:rsidRPr="00950E89">
              <w:rPr>
                <w:rFonts w:eastAsia="Times New Roman" w:cs="Calibri"/>
                <w:color w:val="auto"/>
                <w:sz w:val="18"/>
                <w:szCs w:val="18"/>
                <w:u w:val="single"/>
              </w:rPr>
              <w:t>8</w:t>
            </w:r>
            <w:r w:rsidRPr="00950E89">
              <w:rPr>
                <w:rFonts w:eastAsia="Times New Roman" w:cs="Calibri"/>
                <w:color w:val="auto"/>
                <w:sz w:val="18"/>
                <w:szCs w:val="18"/>
                <w:u w:val="single"/>
              </w:rPr>
              <w:t>0</w:t>
            </w:r>
          </w:p>
        </w:tc>
        <w:tc>
          <w:tcPr>
            <w:tcW w:w="1171" w:type="dxa"/>
            <w:tcBorders>
              <w:top w:val="single" w:sz="4" w:space="0" w:color="auto"/>
              <w:left w:val="single" w:sz="4" w:space="0" w:color="auto"/>
              <w:bottom w:val="single" w:sz="4" w:space="0" w:color="auto"/>
              <w:right w:val="single" w:sz="4" w:space="0" w:color="auto"/>
            </w:tcBorders>
            <w:vAlign w:val="center"/>
          </w:tcPr>
          <w:p w14:paraId="7D98ECBA" w14:textId="530C1782" w:rsidR="001155E8" w:rsidRPr="00950E89" w:rsidRDefault="00F61D1B" w:rsidP="001155E8">
            <w:pPr>
              <w:spacing w:before="0" w:after="0" w:line="240" w:lineRule="auto"/>
              <w:jc w:val="right"/>
              <w:rPr>
                <w:rFonts w:eastAsia="Times New Roman" w:cs="Calibri"/>
                <w:color w:val="auto"/>
                <w:sz w:val="18"/>
                <w:szCs w:val="18"/>
                <w:u w:val="single"/>
              </w:rPr>
            </w:pPr>
            <w:r w:rsidRPr="00950E89">
              <w:rPr>
                <w:rFonts w:eastAsia="Times New Roman" w:cs="Calibri"/>
                <w:color w:val="auto"/>
                <w:sz w:val="18"/>
                <w:szCs w:val="18"/>
                <w:u w:val="single"/>
              </w:rPr>
              <w:t>£1541.71</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6EBE8D9C" w14:textId="77777777" w:rsidR="001155E8" w:rsidRPr="00FB31F5" w:rsidRDefault="001155E8" w:rsidP="001155E8">
            <w:pPr>
              <w:spacing w:before="0" w:after="0" w:line="240" w:lineRule="auto"/>
              <w:jc w:val="right"/>
              <w:rPr>
                <w:rFonts w:eastAsia="Times New Roman" w:cs="Calibri"/>
                <w:color w:val="auto"/>
                <w:sz w:val="18"/>
                <w:szCs w:val="18"/>
                <w:u w:val="single"/>
              </w:rPr>
            </w:pPr>
          </w:p>
        </w:tc>
      </w:tr>
      <w:tr w:rsidR="001155E8" w:rsidRPr="004361AA" w14:paraId="421CEDBA" w14:textId="77777777" w:rsidTr="00A71383">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FC91"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Marc Brooks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6A4993" w14:textId="39FFD67F"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Vice Chair</w:t>
            </w:r>
            <w:r>
              <w:rPr>
                <w:rFonts w:eastAsia="Times New Roman" w:cs="Calibri"/>
                <w:color w:val="000000"/>
                <w:sz w:val="18"/>
                <w:szCs w:val="18"/>
              </w:rPr>
              <w:t xml:space="preserve"> (to 7.24)</w:t>
            </w:r>
          </w:p>
        </w:tc>
        <w:tc>
          <w:tcPr>
            <w:tcW w:w="523"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B9572D4" w14:textId="0F545C06"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7F7F7F" w:themeFill="accent6" w:themeFillTint="80"/>
            <w:noWrap/>
            <w:vAlign w:val="center"/>
          </w:tcPr>
          <w:p w14:paraId="0F63148C"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single" w:sz="4" w:space="0" w:color="auto"/>
              <w:left w:val="single" w:sz="4" w:space="0" w:color="auto"/>
              <w:bottom w:val="single" w:sz="4" w:space="0" w:color="auto"/>
              <w:right w:val="single" w:sz="4" w:space="0" w:color="auto"/>
            </w:tcBorders>
            <w:shd w:val="clear" w:color="auto" w:fill="7F7F7F" w:themeFill="accent6" w:themeFillTint="80"/>
            <w:noWrap/>
            <w:vAlign w:val="center"/>
          </w:tcPr>
          <w:p w14:paraId="6717F70E" w14:textId="401315C6"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single" w:sz="4" w:space="0" w:color="auto"/>
              <w:left w:val="single" w:sz="4" w:space="0" w:color="auto"/>
              <w:bottom w:val="single" w:sz="4" w:space="0" w:color="auto"/>
              <w:right w:val="single" w:sz="4" w:space="0" w:color="auto"/>
            </w:tcBorders>
            <w:shd w:val="clear" w:color="auto" w:fill="7F7F7F" w:themeFill="accent6" w:themeFillTint="80"/>
            <w:noWrap/>
            <w:vAlign w:val="center"/>
          </w:tcPr>
          <w:p w14:paraId="1D6DB6C5"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095F83" w14:textId="50885DBD" w:rsidR="001155E8" w:rsidRPr="006D6FEB" w:rsidRDefault="00572D73" w:rsidP="001155E8">
            <w:pPr>
              <w:spacing w:before="0" w:after="0" w:line="240" w:lineRule="auto"/>
              <w:jc w:val="right"/>
              <w:rPr>
                <w:rFonts w:eastAsia="Times New Roman" w:cs="Calibri"/>
                <w:color w:val="FF0000"/>
                <w:sz w:val="18"/>
                <w:szCs w:val="18"/>
                <w:u w:val="single"/>
              </w:rPr>
            </w:pPr>
            <w:r w:rsidRPr="006D6FEB">
              <w:rPr>
                <w:rFonts w:eastAsia="Times New Roman" w:cs="Calibri"/>
                <w:color w:val="auto"/>
                <w:sz w:val="18"/>
                <w:szCs w:val="18"/>
                <w:u w:val="single"/>
              </w:rPr>
              <w:t>£240.00</w:t>
            </w:r>
          </w:p>
        </w:tc>
        <w:tc>
          <w:tcPr>
            <w:tcW w:w="1171" w:type="dxa"/>
            <w:tcBorders>
              <w:top w:val="single" w:sz="4" w:space="0" w:color="auto"/>
              <w:left w:val="single" w:sz="4" w:space="0" w:color="auto"/>
              <w:bottom w:val="single" w:sz="4" w:space="0" w:color="auto"/>
              <w:right w:val="single" w:sz="4" w:space="0" w:color="auto"/>
            </w:tcBorders>
            <w:vAlign w:val="center"/>
          </w:tcPr>
          <w:p w14:paraId="23A1E40E" w14:textId="3B32C8EC" w:rsidR="001155E8" w:rsidRPr="006D6FEB" w:rsidRDefault="001155E8" w:rsidP="001155E8">
            <w:pPr>
              <w:spacing w:before="0" w:after="0" w:line="240" w:lineRule="auto"/>
              <w:jc w:val="right"/>
              <w:rPr>
                <w:rFonts w:eastAsia="Times New Roman" w:cs="Calibri"/>
                <w:color w:val="FF0000"/>
                <w:sz w:val="18"/>
                <w:szCs w:val="18"/>
                <w:u w:val="singl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14B6C129" w14:textId="356BE45A" w:rsidR="001155E8" w:rsidRPr="00FB31F5" w:rsidRDefault="001155E8" w:rsidP="001155E8">
            <w:pPr>
              <w:spacing w:before="0" w:after="0" w:line="240" w:lineRule="auto"/>
              <w:jc w:val="right"/>
              <w:rPr>
                <w:rFonts w:eastAsia="Times New Roman" w:cs="Calibri"/>
                <w:color w:val="auto"/>
                <w:sz w:val="18"/>
                <w:szCs w:val="18"/>
                <w:u w:val="single"/>
              </w:rPr>
            </w:pPr>
          </w:p>
        </w:tc>
      </w:tr>
      <w:tr w:rsidR="001155E8" w:rsidRPr="004361AA" w14:paraId="3D6F5219" w14:textId="77777777" w:rsidTr="0076405D">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DC5F"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Chris Kenny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8B269E"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Treasurer</w:t>
            </w:r>
          </w:p>
        </w:tc>
        <w:tc>
          <w:tcPr>
            <w:tcW w:w="52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215549DA" w14:textId="325B0BCD"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5FFEEA7D"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5176A363"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4F66EEF8"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EA9069" w14:textId="5F6BFA83" w:rsidR="00572D73" w:rsidRPr="006D6FEB" w:rsidRDefault="00572D73" w:rsidP="00572D73">
            <w:pPr>
              <w:spacing w:before="0" w:after="0" w:line="240" w:lineRule="auto"/>
              <w:jc w:val="right"/>
              <w:rPr>
                <w:rFonts w:eastAsia="Times New Roman" w:cs="Calibri"/>
                <w:color w:val="FF0000"/>
                <w:sz w:val="18"/>
                <w:szCs w:val="18"/>
                <w:u w:val="single"/>
              </w:rPr>
            </w:pPr>
            <w:r w:rsidRPr="006D6FEB">
              <w:rPr>
                <w:rFonts w:eastAsia="Times New Roman" w:cs="Calibri"/>
                <w:color w:val="auto"/>
                <w:sz w:val="18"/>
                <w:szCs w:val="18"/>
                <w:u w:val="single"/>
              </w:rPr>
              <w:t>£960.00</w:t>
            </w:r>
          </w:p>
        </w:tc>
        <w:tc>
          <w:tcPr>
            <w:tcW w:w="1171" w:type="dxa"/>
            <w:tcBorders>
              <w:top w:val="single" w:sz="4" w:space="0" w:color="auto"/>
              <w:left w:val="single" w:sz="4" w:space="0" w:color="auto"/>
              <w:bottom w:val="single" w:sz="4" w:space="0" w:color="auto"/>
              <w:right w:val="single" w:sz="4" w:space="0" w:color="auto"/>
            </w:tcBorders>
            <w:vAlign w:val="center"/>
          </w:tcPr>
          <w:p w14:paraId="53B2F0B3" w14:textId="73E885F8" w:rsidR="001155E8" w:rsidRPr="006D6FEB" w:rsidRDefault="001155E8" w:rsidP="001155E8">
            <w:pPr>
              <w:spacing w:before="0" w:after="0" w:line="240" w:lineRule="auto"/>
              <w:jc w:val="right"/>
              <w:rPr>
                <w:rFonts w:eastAsia="Times New Roman" w:cs="Calibri"/>
                <w:color w:val="FF0000"/>
                <w:sz w:val="18"/>
                <w:szCs w:val="18"/>
                <w:u w:val="singl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12C8D3BA" w14:textId="027A1406" w:rsidR="001155E8" w:rsidRPr="00FB31F5" w:rsidRDefault="001155E8" w:rsidP="001155E8">
            <w:pPr>
              <w:spacing w:before="0" w:after="0" w:line="240" w:lineRule="auto"/>
              <w:jc w:val="right"/>
              <w:rPr>
                <w:rFonts w:eastAsia="Times New Roman" w:cs="Calibri"/>
                <w:color w:val="auto"/>
                <w:sz w:val="18"/>
                <w:szCs w:val="18"/>
                <w:u w:val="single"/>
              </w:rPr>
            </w:pPr>
          </w:p>
        </w:tc>
      </w:tr>
      <w:tr w:rsidR="001155E8" w:rsidRPr="004361AA" w14:paraId="7981B22A" w14:textId="77777777" w:rsidTr="0076405D">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684"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Robert Severn</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0142C334"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Governance Lead</w:t>
            </w:r>
          </w:p>
        </w:tc>
        <w:tc>
          <w:tcPr>
            <w:tcW w:w="523" w:type="dxa"/>
            <w:tcBorders>
              <w:top w:val="single" w:sz="4" w:space="0" w:color="auto"/>
              <w:left w:val="nil"/>
              <w:bottom w:val="single" w:sz="4" w:space="0" w:color="auto"/>
              <w:right w:val="single" w:sz="4" w:space="0" w:color="auto"/>
            </w:tcBorders>
            <w:shd w:val="clear" w:color="auto" w:fill="EA3C00" w:themeFill="accent1" w:themeFillShade="BF"/>
            <w:noWrap/>
            <w:vAlign w:val="center"/>
          </w:tcPr>
          <w:p w14:paraId="79474F12" w14:textId="336B8A56" w:rsidR="001155E8" w:rsidRPr="009875C3" w:rsidRDefault="001155E8" w:rsidP="001155E8">
            <w:pPr>
              <w:spacing w:before="0" w:after="0" w:line="240" w:lineRule="auto"/>
              <w:jc w:val="center"/>
              <w:rPr>
                <w:rFonts w:eastAsia="Times New Roman" w:cs="Calibri"/>
                <w:color w:val="000000"/>
                <w:sz w:val="18"/>
                <w:szCs w:val="18"/>
              </w:rPr>
            </w:pPr>
            <w:r>
              <w:rPr>
                <w:rFonts w:eastAsia="Times New Roman" w:cs="Calibri"/>
                <w:color w:val="000000"/>
                <w:sz w:val="18"/>
                <w:szCs w:val="18"/>
              </w:rPr>
              <w:t>x</w:t>
            </w:r>
          </w:p>
        </w:tc>
        <w:tc>
          <w:tcPr>
            <w:tcW w:w="523" w:type="dxa"/>
            <w:gridSpan w:val="2"/>
            <w:tcBorders>
              <w:top w:val="single" w:sz="4" w:space="0" w:color="auto"/>
              <w:left w:val="nil"/>
              <w:bottom w:val="single" w:sz="4" w:space="0" w:color="auto"/>
              <w:right w:val="single" w:sz="4" w:space="0" w:color="auto"/>
            </w:tcBorders>
            <w:shd w:val="clear" w:color="auto" w:fill="92D050"/>
            <w:noWrap/>
            <w:vAlign w:val="center"/>
          </w:tcPr>
          <w:p w14:paraId="3FB153AF"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single" w:sz="4" w:space="0" w:color="auto"/>
              <w:left w:val="nil"/>
              <w:bottom w:val="single" w:sz="4" w:space="0" w:color="auto"/>
              <w:right w:val="single" w:sz="4" w:space="0" w:color="auto"/>
            </w:tcBorders>
            <w:shd w:val="clear" w:color="auto" w:fill="92D050"/>
            <w:noWrap/>
            <w:vAlign w:val="center"/>
          </w:tcPr>
          <w:p w14:paraId="10E44668"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single" w:sz="4" w:space="0" w:color="auto"/>
              <w:left w:val="nil"/>
              <w:bottom w:val="single" w:sz="4" w:space="0" w:color="auto"/>
              <w:right w:val="single" w:sz="4" w:space="0" w:color="auto"/>
            </w:tcBorders>
            <w:shd w:val="clear" w:color="auto" w:fill="92D050"/>
            <w:noWrap/>
            <w:vAlign w:val="center"/>
          </w:tcPr>
          <w:p w14:paraId="206DB17D"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single" w:sz="4" w:space="0" w:color="auto"/>
              <w:left w:val="nil"/>
              <w:bottom w:val="single" w:sz="4" w:space="0" w:color="auto"/>
              <w:right w:val="single" w:sz="4" w:space="0" w:color="auto"/>
            </w:tcBorders>
            <w:shd w:val="clear" w:color="auto" w:fill="auto"/>
            <w:noWrap/>
            <w:vAlign w:val="center"/>
          </w:tcPr>
          <w:p w14:paraId="2B3EDA9C" w14:textId="76F9D9CC" w:rsidR="001155E8" w:rsidRPr="006D6FEB" w:rsidRDefault="00572D73" w:rsidP="001155E8">
            <w:pPr>
              <w:spacing w:before="0" w:after="0" w:line="240" w:lineRule="auto"/>
              <w:jc w:val="right"/>
              <w:rPr>
                <w:rFonts w:eastAsia="Times New Roman" w:cstheme="minorHAnsi"/>
                <w:color w:val="FF0000"/>
                <w:sz w:val="18"/>
                <w:szCs w:val="18"/>
                <w:u w:val="single"/>
              </w:rPr>
            </w:pPr>
            <w:r w:rsidRPr="00950E89">
              <w:rPr>
                <w:rFonts w:eastAsia="Times New Roman" w:cstheme="minorHAnsi"/>
                <w:color w:val="auto"/>
                <w:sz w:val="18"/>
                <w:szCs w:val="18"/>
                <w:u w:val="single"/>
              </w:rPr>
              <w:t>£118.80</w:t>
            </w:r>
          </w:p>
        </w:tc>
        <w:tc>
          <w:tcPr>
            <w:tcW w:w="1171" w:type="dxa"/>
            <w:tcBorders>
              <w:top w:val="single" w:sz="4" w:space="0" w:color="auto"/>
              <w:left w:val="nil"/>
              <w:bottom w:val="single" w:sz="4" w:space="0" w:color="auto"/>
              <w:right w:val="single" w:sz="4" w:space="0" w:color="auto"/>
            </w:tcBorders>
            <w:vAlign w:val="center"/>
          </w:tcPr>
          <w:p w14:paraId="2555501D" w14:textId="2A54B4CA" w:rsidR="001155E8" w:rsidRPr="006D6FEB" w:rsidRDefault="001155E8" w:rsidP="001155E8">
            <w:pPr>
              <w:spacing w:before="0" w:after="0" w:line="240" w:lineRule="auto"/>
              <w:jc w:val="right"/>
              <w:rPr>
                <w:rFonts w:eastAsia="Times New Roman" w:cstheme="minorHAnsi"/>
                <w:color w:val="FF0000"/>
                <w:sz w:val="18"/>
                <w:szCs w:val="18"/>
                <w:u w:val="single"/>
              </w:rPr>
            </w:pPr>
          </w:p>
        </w:tc>
        <w:tc>
          <w:tcPr>
            <w:tcW w:w="842" w:type="dxa"/>
            <w:gridSpan w:val="2"/>
            <w:tcBorders>
              <w:top w:val="single" w:sz="4" w:space="0" w:color="auto"/>
              <w:left w:val="nil"/>
              <w:bottom w:val="single" w:sz="4" w:space="0" w:color="auto"/>
              <w:right w:val="single" w:sz="4" w:space="0" w:color="auto"/>
            </w:tcBorders>
            <w:vAlign w:val="center"/>
          </w:tcPr>
          <w:p w14:paraId="54EF4046" w14:textId="240123A3" w:rsidR="001155E8" w:rsidRPr="00FB31F5" w:rsidRDefault="001155E8" w:rsidP="001155E8">
            <w:pPr>
              <w:spacing w:before="0" w:after="0" w:line="240" w:lineRule="auto"/>
              <w:jc w:val="right"/>
              <w:rPr>
                <w:rFonts w:eastAsia="Times New Roman" w:cstheme="minorHAnsi"/>
                <w:color w:val="auto"/>
                <w:sz w:val="18"/>
                <w:szCs w:val="18"/>
                <w:u w:val="single"/>
              </w:rPr>
            </w:pPr>
          </w:p>
        </w:tc>
      </w:tr>
      <w:tr w:rsidR="001155E8" w:rsidRPr="004361AA" w14:paraId="35C73910" w14:textId="77777777" w:rsidTr="0076405D">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F54F"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Blazej Jasnowski</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437BC1DF" w14:textId="2CEA130F"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Member</w:t>
            </w:r>
            <w:r>
              <w:rPr>
                <w:rFonts w:eastAsia="Times New Roman" w:cs="Calibri"/>
                <w:color w:val="000000"/>
                <w:sz w:val="18"/>
                <w:szCs w:val="18"/>
              </w:rPr>
              <w:t xml:space="preserve"> (VC from 9.24)</w:t>
            </w:r>
          </w:p>
        </w:tc>
        <w:tc>
          <w:tcPr>
            <w:tcW w:w="523" w:type="dxa"/>
            <w:tcBorders>
              <w:top w:val="single" w:sz="4" w:space="0" w:color="auto"/>
              <w:left w:val="nil"/>
              <w:bottom w:val="single" w:sz="4" w:space="0" w:color="auto"/>
              <w:right w:val="single" w:sz="4" w:space="0" w:color="auto"/>
            </w:tcBorders>
            <w:shd w:val="clear" w:color="auto" w:fill="92D050"/>
            <w:noWrap/>
            <w:vAlign w:val="center"/>
          </w:tcPr>
          <w:p w14:paraId="7DC970AF" w14:textId="022A33BF"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single" w:sz="4" w:space="0" w:color="auto"/>
              <w:left w:val="nil"/>
              <w:bottom w:val="single" w:sz="4" w:space="0" w:color="auto"/>
              <w:right w:val="single" w:sz="4" w:space="0" w:color="auto"/>
            </w:tcBorders>
            <w:shd w:val="clear" w:color="auto" w:fill="92D050"/>
            <w:noWrap/>
            <w:vAlign w:val="center"/>
          </w:tcPr>
          <w:p w14:paraId="33F4E043"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single" w:sz="4" w:space="0" w:color="auto"/>
              <w:left w:val="nil"/>
              <w:bottom w:val="single" w:sz="4" w:space="0" w:color="auto"/>
              <w:right w:val="single" w:sz="4" w:space="0" w:color="auto"/>
            </w:tcBorders>
            <w:shd w:val="clear" w:color="auto" w:fill="92D050"/>
            <w:noWrap/>
            <w:vAlign w:val="center"/>
          </w:tcPr>
          <w:p w14:paraId="544C3963"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single" w:sz="4" w:space="0" w:color="auto"/>
              <w:left w:val="nil"/>
              <w:bottom w:val="single" w:sz="4" w:space="0" w:color="auto"/>
              <w:right w:val="single" w:sz="4" w:space="0" w:color="auto"/>
            </w:tcBorders>
            <w:shd w:val="clear" w:color="auto" w:fill="92D050"/>
            <w:noWrap/>
            <w:vAlign w:val="center"/>
          </w:tcPr>
          <w:p w14:paraId="0B427D02"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single" w:sz="4" w:space="0" w:color="auto"/>
              <w:left w:val="nil"/>
              <w:bottom w:val="single" w:sz="4" w:space="0" w:color="auto"/>
              <w:right w:val="single" w:sz="4" w:space="0" w:color="auto"/>
            </w:tcBorders>
            <w:shd w:val="clear" w:color="auto" w:fill="auto"/>
            <w:noWrap/>
            <w:vAlign w:val="center"/>
          </w:tcPr>
          <w:p w14:paraId="10C27ABD" w14:textId="04B70091" w:rsidR="001155E8" w:rsidRPr="006D6FEB" w:rsidRDefault="00686EEF" w:rsidP="001155E8">
            <w:pPr>
              <w:spacing w:before="0" w:after="0" w:line="240" w:lineRule="auto"/>
              <w:jc w:val="right"/>
              <w:rPr>
                <w:rFonts w:eastAsia="Times New Roman" w:cstheme="minorHAnsi"/>
                <w:color w:val="FF0000"/>
                <w:sz w:val="18"/>
                <w:szCs w:val="18"/>
                <w:u w:val="single"/>
              </w:rPr>
            </w:pPr>
            <w:r w:rsidRPr="004168F4">
              <w:rPr>
                <w:rFonts w:eastAsia="Times New Roman" w:cstheme="minorHAnsi"/>
                <w:color w:val="auto"/>
                <w:sz w:val="18"/>
                <w:szCs w:val="18"/>
                <w:u w:val="single"/>
              </w:rPr>
              <w:t>£982.05</w:t>
            </w:r>
          </w:p>
        </w:tc>
        <w:tc>
          <w:tcPr>
            <w:tcW w:w="1171" w:type="dxa"/>
            <w:tcBorders>
              <w:top w:val="single" w:sz="4" w:space="0" w:color="auto"/>
              <w:left w:val="nil"/>
              <w:bottom w:val="single" w:sz="4" w:space="0" w:color="auto"/>
              <w:right w:val="single" w:sz="4" w:space="0" w:color="auto"/>
            </w:tcBorders>
            <w:vAlign w:val="center"/>
          </w:tcPr>
          <w:p w14:paraId="0FEB634E" w14:textId="34522B14" w:rsidR="001155E8" w:rsidRPr="006D6FEB" w:rsidRDefault="001155E8" w:rsidP="001155E8">
            <w:pPr>
              <w:spacing w:before="0" w:after="0" w:line="240" w:lineRule="auto"/>
              <w:jc w:val="right"/>
              <w:rPr>
                <w:rFonts w:eastAsia="Times New Roman" w:cstheme="minorHAnsi"/>
                <w:color w:val="FF0000"/>
                <w:sz w:val="18"/>
                <w:szCs w:val="18"/>
                <w:u w:val="single"/>
              </w:rPr>
            </w:pPr>
          </w:p>
        </w:tc>
        <w:tc>
          <w:tcPr>
            <w:tcW w:w="842" w:type="dxa"/>
            <w:gridSpan w:val="2"/>
            <w:tcBorders>
              <w:top w:val="single" w:sz="4" w:space="0" w:color="auto"/>
              <w:left w:val="nil"/>
              <w:bottom w:val="single" w:sz="4" w:space="0" w:color="auto"/>
              <w:right w:val="single" w:sz="4" w:space="0" w:color="auto"/>
            </w:tcBorders>
            <w:vAlign w:val="center"/>
          </w:tcPr>
          <w:p w14:paraId="544D551E" w14:textId="46342808" w:rsidR="001155E8" w:rsidRPr="00FB31F5" w:rsidRDefault="001155E8" w:rsidP="001155E8">
            <w:pPr>
              <w:spacing w:before="0" w:after="0" w:line="240" w:lineRule="auto"/>
              <w:jc w:val="right"/>
              <w:rPr>
                <w:rFonts w:eastAsia="Times New Roman" w:cstheme="minorHAnsi"/>
                <w:color w:val="auto"/>
                <w:sz w:val="18"/>
                <w:szCs w:val="18"/>
                <w:u w:val="single"/>
              </w:rPr>
            </w:pPr>
          </w:p>
        </w:tc>
      </w:tr>
      <w:tr w:rsidR="001155E8" w:rsidRPr="004361AA" w14:paraId="09923F61" w14:textId="77777777" w:rsidTr="00A71383">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4FA7F" w14:textId="18C97F6C"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John Broomhead</w:t>
            </w:r>
          </w:p>
        </w:tc>
        <w:tc>
          <w:tcPr>
            <w:tcW w:w="2268" w:type="dxa"/>
            <w:gridSpan w:val="3"/>
            <w:tcBorders>
              <w:top w:val="nil"/>
              <w:left w:val="nil"/>
              <w:bottom w:val="single" w:sz="4" w:space="0" w:color="auto"/>
              <w:right w:val="single" w:sz="4" w:space="0" w:color="auto"/>
            </w:tcBorders>
            <w:shd w:val="clear" w:color="auto" w:fill="auto"/>
            <w:noWrap/>
            <w:vAlign w:val="center"/>
          </w:tcPr>
          <w:p w14:paraId="096AB242" w14:textId="5FBEBE6E"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Member</w:t>
            </w:r>
            <w:r>
              <w:rPr>
                <w:rFonts w:eastAsia="Times New Roman" w:cs="Calibri"/>
                <w:color w:val="000000"/>
                <w:sz w:val="18"/>
                <w:szCs w:val="18"/>
              </w:rPr>
              <w:t xml:space="preserve"> </w:t>
            </w:r>
          </w:p>
        </w:tc>
        <w:tc>
          <w:tcPr>
            <w:tcW w:w="523" w:type="dxa"/>
            <w:tcBorders>
              <w:top w:val="nil"/>
              <w:left w:val="nil"/>
              <w:bottom w:val="single" w:sz="4" w:space="0" w:color="auto"/>
              <w:right w:val="single" w:sz="4" w:space="0" w:color="auto"/>
            </w:tcBorders>
            <w:shd w:val="clear" w:color="auto" w:fill="92D050"/>
            <w:noWrap/>
            <w:vAlign w:val="center"/>
          </w:tcPr>
          <w:p w14:paraId="5D453277" w14:textId="06494883"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42ADEAAE"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nil"/>
              <w:left w:val="nil"/>
              <w:bottom w:val="single" w:sz="4" w:space="0" w:color="auto"/>
              <w:right w:val="single" w:sz="4" w:space="0" w:color="auto"/>
            </w:tcBorders>
            <w:shd w:val="clear" w:color="auto" w:fill="92D050"/>
            <w:noWrap/>
            <w:vAlign w:val="center"/>
          </w:tcPr>
          <w:p w14:paraId="2510DAD2" w14:textId="680D8850"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nil"/>
              <w:left w:val="nil"/>
              <w:bottom w:val="single" w:sz="4" w:space="0" w:color="auto"/>
              <w:right w:val="single" w:sz="4" w:space="0" w:color="auto"/>
            </w:tcBorders>
            <w:shd w:val="clear" w:color="auto" w:fill="7F7F7F" w:themeFill="text2" w:themeFillTint="80"/>
            <w:noWrap/>
            <w:vAlign w:val="center"/>
          </w:tcPr>
          <w:p w14:paraId="12A77A51"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nil"/>
              <w:left w:val="nil"/>
              <w:bottom w:val="single" w:sz="4" w:space="0" w:color="auto"/>
              <w:right w:val="single" w:sz="4" w:space="0" w:color="auto"/>
            </w:tcBorders>
            <w:shd w:val="clear" w:color="auto" w:fill="auto"/>
            <w:noWrap/>
            <w:vAlign w:val="center"/>
          </w:tcPr>
          <w:p w14:paraId="3E0C289A" w14:textId="7B820E27" w:rsidR="001155E8" w:rsidRPr="006D6FEB" w:rsidRDefault="00BC5D03" w:rsidP="001155E8">
            <w:pPr>
              <w:spacing w:before="0" w:after="0" w:line="240" w:lineRule="auto"/>
              <w:jc w:val="right"/>
              <w:rPr>
                <w:rFonts w:eastAsia="Times New Roman" w:cs="Calibri"/>
                <w:color w:val="FF0000"/>
                <w:sz w:val="18"/>
                <w:szCs w:val="18"/>
                <w:u w:val="single"/>
              </w:rPr>
            </w:pPr>
            <w:r w:rsidRPr="006D6FEB">
              <w:rPr>
                <w:rFonts w:eastAsia="Times New Roman" w:cs="Calibri"/>
                <w:color w:val="auto"/>
                <w:sz w:val="18"/>
                <w:szCs w:val="18"/>
                <w:u w:val="single"/>
              </w:rPr>
              <w:t>£600.00</w:t>
            </w:r>
          </w:p>
        </w:tc>
        <w:tc>
          <w:tcPr>
            <w:tcW w:w="1171" w:type="dxa"/>
            <w:tcBorders>
              <w:top w:val="nil"/>
              <w:left w:val="nil"/>
              <w:bottom w:val="single" w:sz="4" w:space="0" w:color="auto"/>
              <w:right w:val="single" w:sz="4" w:space="0" w:color="auto"/>
            </w:tcBorders>
            <w:vAlign w:val="center"/>
          </w:tcPr>
          <w:p w14:paraId="737E781B" w14:textId="1D845CD7" w:rsidR="001155E8" w:rsidRPr="006D6FEB" w:rsidRDefault="001155E8" w:rsidP="001155E8">
            <w:pPr>
              <w:spacing w:before="0" w:after="0" w:line="240" w:lineRule="auto"/>
              <w:jc w:val="right"/>
              <w:rPr>
                <w:rFonts w:eastAsia="Times New Roman" w:cs="Calibri"/>
                <w:color w:val="FF0000"/>
                <w:sz w:val="18"/>
                <w:szCs w:val="18"/>
                <w:u w:val="single"/>
              </w:rPr>
            </w:pPr>
          </w:p>
        </w:tc>
        <w:tc>
          <w:tcPr>
            <w:tcW w:w="842" w:type="dxa"/>
            <w:gridSpan w:val="2"/>
            <w:tcBorders>
              <w:top w:val="nil"/>
              <w:left w:val="nil"/>
              <w:bottom w:val="single" w:sz="4" w:space="0" w:color="auto"/>
              <w:right w:val="single" w:sz="4" w:space="0" w:color="auto"/>
            </w:tcBorders>
            <w:vAlign w:val="center"/>
          </w:tcPr>
          <w:p w14:paraId="55D28DAE" w14:textId="4B34E58E" w:rsidR="001155E8" w:rsidRPr="00FB31F5" w:rsidRDefault="001155E8" w:rsidP="001155E8">
            <w:pPr>
              <w:spacing w:before="0" w:after="0" w:line="240" w:lineRule="auto"/>
              <w:jc w:val="right"/>
              <w:rPr>
                <w:rFonts w:eastAsia="Times New Roman" w:cs="Calibri"/>
                <w:color w:val="auto"/>
                <w:sz w:val="18"/>
                <w:szCs w:val="18"/>
                <w:u w:val="single"/>
              </w:rPr>
            </w:pPr>
          </w:p>
        </w:tc>
      </w:tr>
      <w:tr w:rsidR="001155E8" w:rsidRPr="004361AA" w14:paraId="2BA4D02A" w14:textId="77777777" w:rsidTr="00A71383">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4A9626AF"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Chris Mulimba</w:t>
            </w:r>
          </w:p>
        </w:tc>
        <w:tc>
          <w:tcPr>
            <w:tcW w:w="2268" w:type="dxa"/>
            <w:gridSpan w:val="3"/>
            <w:tcBorders>
              <w:top w:val="nil"/>
              <w:left w:val="nil"/>
              <w:bottom w:val="single" w:sz="4" w:space="0" w:color="auto"/>
              <w:right w:val="single" w:sz="4" w:space="0" w:color="auto"/>
            </w:tcBorders>
            <w:shd w:val="clear" w:color="auto" w:fill="auto"/>
            <w:noWrap/>
            <w:vAlign w:val="center"/>
          </w:tcPr>
          <w:p w14:paraId="7D56D51F" w14:textId="33221695"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Governance Rep</w:t>
            </w:r>
          </w:p>
        </w:tc>
        <w:tc>
          <w:tcPr>
            <w:tcW w:w="523" w:type="dxa"/>
            <w:tcBorders>
              <w:top w:val="nil"/>
              <w:left w:val="nil"/>
              <w:bottom w:val="single" w:sz="4" w:space="0" w:color="auto"/>
              <w:right w:val="single" w:sz="4" w:space="0" w:color="auto"/>
            </w:tcBorders>
            <w:shd w:val="clear" w:color="auto" w:fill="92D050"/>
            <w:noWrap/>
            <w:vAlign w:val="center"/>
          </w:tcPr>
          <w:p w14:paraId="073B0665"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7E70F52E"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nil"/>
              <w:left w:val="nil"/>
              <w:bottom w:val="single" w:sz="4" w:space="0" w:color="auto"/>
              <w:right w:val="single" w:sz="4" w:space="0" w:color="auto"/>
            </w:tcBorders>
            <w:shd w:val="clear" w:color="auto" w:fill="92D050"/>
            <w:noWrap/>
            <w:vAlign w:val="center"/>
          </w:tcPr>
          <w:p w14:paraId="4E7AD128"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nil"/>
              <w:left w:val="nil"/>
              <w:bottom w:val="single" w:sz="4" w:space="0" w:color="auto"/>
              <w:right w:val="single" w:sz="4" w:space="0" w:color="auto"/>
            </w:tcBorders>
            <w:shd w:val="clear" w:color="auto" w:fill="7F7F7F" w:themeFill="text2" w:themeFillTint="80"/>
            <w:noWrap/>
            <w:vAlign w:val="center"/>
          </w:tcPr>
          <w:p w14:paraId="58B6D7A7"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1849" w:type="dxa"/>
            <w:gridSpan w:val="4"/>
            <w:tcBorders>
              <w:top w:val="nil"/>
              <w:left w:val="nil"/>
              <w:bottom w:val="single" w:sz="4" w:space="0" w:color="auto"/>
              <w:right w:val="single" w:sz="4" w:space="0" w:color="auto"/>
            </w:tcBorders>
            <w:shd w:val="clear" w:color="auto" w:fill="auto"/>
            <w:noWrap/>
            <w:vAlign w:val="center"/>
          </w:tcPr>
          <w:p w14:paraId="797BFFA0" w14:textId="22160426" w:rsidR="001155E8" w:rsidRPr="006D6FEB" w:rsidRDefault="00767650" w:rsidP="001155E8">
            <w:pPr>
              <w:spacing w:before="0" w:after="0" w:line="240" w:lineRule="auto"/>
              <w:jc w:val="right"/>
              <w:rPr>
                <w:rFonts w:eastAsia="Times New Roman" w:cstheme="minorHAnsi"/>
                <w:color w:val="FF0000"/>
                <w:sz w:val="18"/>
                <w:szCs w:val="18"/>
                <w:u w:val="single"/>
              </w:rPr>
            </w:pPr>
            <w:r w:rsidRPr="00845EE0">
              <w:rPr>
                <w:rFonts w:eastAsia="Times New Roman" w:cstheme="minorHAnsi"/>
                <w:color w:val="auto"/>
                <w:sz w:val="18"/>
                <w:szCs w:val="18"/>
                <w:u w:val="single"/>
              </w:rPr>
              <w:t>£778.50</w:t>
            </w:r>
          </w:p>
        </w:tc>
        <w:tc>
          <w:tcPr>
            <w:tcW w:w="1171" w:type="dxa"/>
            <w:tcBorders>
              <w:top w:val="nil"/>
              <w:left w:val="nil"/>
              <w:bottom w:val="single" w:sz="4" w:space="0" w:color="auto"/>
              <w:right w:val="single" w:sz="4" w:space="0" w:color="auto"/>
            </w:tcBorders>
            <w:vAlign w:val="center"/>
          </w:tcPr>
          <w:p w14:paraId="250A94CA" w14:textId="4597EB85" w:rsidR="001155E8" w:rsidRPr="006D6FEB" w:rsidRDefault="001155E8" w:rsidP="001155E8">
            <w:pPr>
              <w:spacing w:before="0" w:after="0" w:line="240" w:lineRule="auto"/>
              <w:jc w:val="right"/>
              <w:rPr>
                <w:rFonts w:eastAsia="Times New Roman" w:cstheme="minorHAnsi"/>
                <w:color w:val="FF0000"/>
                <w:sz w:val="18"/>
                <w:szCs w:val="18"/>
                <w:u w:val="single"/>
              </w:rPr>
            </w:pPr>
          </w:p>
        </w:tc>
        <w:tc>
          <w:tcPr>
            <w:tcW w:w="842" w:type="dxa"/>
            <w:gridSpan w:val="2"/>
            <w:tcBorders>
              <w:top w:val="nil"/>
              <w:left w:val="nil"/>
              <w:bottom w:val="single" w:sz="4" w:space="0" w:color="auto"/>
              <w:right w:val="single" w:sz="4" w:space="0" w:color="auto"/>
            </w:tcBorders>
            <w:vAlign w:val="center"/>
          </w:tcPr>
          <w:p w14:paraId="21FAC002" w14:textId="3C934778" w:rsidR="001155E8" w:rsidRPr="00FB31F5" w:rsidRDefault="001155E8" w:rsidP="001155E8">
            <w:pPr>
              <w:spacing w:before="0" w:after="0" w:line="240" w:lineRule="auto"/>
              <w:jc w:val="right"/>
              <w:rPr>
                <w:rFonts w:eastAsia="Times New Roman" w:cstheme="minorHAnsi"/>
                <w:color w:val="auto"/>
                <w:sz w:val="18"/>
                <w:szCs w:val="18"/>
                <w:u w:val="single"/>
              </w:rPr>
            </w:pPr>
          </w:p>
        </w:tc>
      </w:tr>
      <w:tr w:rsidR="001155E8" w:rsidRPr="004361AA" w14:paraId="352C6A22" w14:textId="77777777" w:rsidTr="00E65F13">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CD2A103"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Christine Stafford</w:t>
            </w:r>
          </w:p>
        </w:tc>
        <w:tc>
          <w:tcPr>
            <w:tcW w:w="2268" w:type="dxa"/>
            <w:gridSpan w:val="3"/>
            <w:tcBorders>
              <w:top w:val="nil"/>
              <w:left w:val="nil"/>
              <w:bottom w:val="single" w:sz="4" w:space="0" w:color="auto"/>
              <w:right w:val="single" w:sz="4" w:space="0" w:color="auto"/>
            </w:tcBorders>
            <w:shd w:val="clear" w:color="auto" w:fill="auto"/>
            <w:noWrap/>
            <w:vAlign w:val="center"/>
          </w:tcPr>
          <w:p w14:paraId="6777F469" w14:textId="2AD37DC1"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Governance Rep</w:t>
            </w:r>
          </w:p>
        </w:tc>
        <w:tc>
          <w:tcPr>
            <w:tcW w:w="523" w:type="dxa"/>
            <w:tcBorders>
              <w:top w:val="nil"/>
              <w:left w:val="nil"/>
              <w:bottom w:val="single" w:sz="4" w:space="0" w:color="auto"/>
              <w:right w:val="single" w:sz="4" w:space="0" w:color="auto"/>
            </w:tcBorders>
            <w:shd w:val="clear" w:color="auto" w:fill="92D050"/>
            <w:noWrap/>
            <w:vAlign w:val="center"/>
          </w:tcPr>
          <w:p w14:paraId="7FE857F4" w14:textId="446F811D"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0F83167E"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gridSpan w:val="2"/>
            <w:tcBorders>
              <w:top w:val="nil"/>
              <w:left w:val="nil"/>
              <w:bottom w:val="single" w:sz="4" w:space="0" w:color="auto"/>
              <w:right w:val="single" w:sz="4" w:space="0" w:color="auto"/>
            </w:tcBorders>
            <w:shd w:val="clear" w:color="auto" w:fill="92D050"/>
            <w:noWrap/>
            <w:vAlign w:val="center"/>
          </w:tcPr>
          <w:p w14:paraId="33029426" w14:textId="77777777"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p>
        </w:tc>
        <w:tc>
          <w:tcPr>
            <w:tcW w:w="523" w:type="dxa"/>
            <w:tcBorders>
              <w:top w:val="nil"/>
              <w:left w:val="nil"/>
              <w:bottom w:val="single" w:sz="4" w:space="0" w:color="auto"/>
              <w:right w:val="single" w:sz="4" w:space="0" w:color="auto"/>
            </w:tcBorders>
            <w:shd w:val="clear" w:color="auto" w:fill="EA3C00" w:themeFill="accent1" w:themeFillShade="BF"/>
            <w:noWrap/>
            <w:vAlign w:val="center"/>
          </w:tcPr>
          <w:p w14:paraId="04FA4E60" w14:textId="0CED0672" w:rsidR="001155E8" w:rsidRPr="009875C3" w:rsidRDefault="001155E8" w:rsidP="001155E8">
            <w:pPr>
              <w:spacing w:before="0" w:after="0" w:line="240" w:lineRule="auto"/>
              <w:jc w:val="center"/>
              <w:rPr>
                <w:rFonts w:eastAsia="Times New Roman" w:cs="Calibri"/>
                <w:color w:val="000000"/>
                <w:sz w:val="18"/>
                <w:szCs w:val="18"/>
              </w:rPr>
            </w:pPr>
            <w:r w:rsidRPr="009875C3">
              <w:rPr>
                <w:rFonts w:cs="Calibri"/>
                <w:color w:val="000000"/>
                <w:sz w:val="18"/>
                <w:szCs w:val="18"/>
              </w:rPr>
              <w:t> </w:t>
            </w:r>
            <w:r w:rsidR="00E65F13">
              <w:rPr>
                <w:rFonts w:eastAsia="Times New Roman" w:cs="Calibri"/>
                <w:color w:val="000000"/>
                <w:sz w:val="18"/>
                <w:szCs w:val="18"/>
              </w:rPr>
              <w:t>x</w:t>
            </w:r>
          </w:p>
        </w:tc>
        <w:tc>
          <w:tcPr>
            <w:tcW w:w="1849" w:type="dxa"/>
            <w:gridSpan w:val="4"/>
            <w:tcBorders>
              <w:top w:val="nil"/>
              <w:left w:val="nil"/>
              <w:bottom w:val="single" w:sz="4" w:space="0" w:color="auto"/>
              <w:right w:val="single" w:sz="4" w:space="0" w:color="auto"/>
            </w:tcBorders>
            <w:shd w:val="clear" w:color="auto" w:fill="auto"/>
            <w:noWrap/>
            <w:vAlign w:val="center"/>
          </w:tcPr>
          <w:p w14:paraId="119D60D1" w14:textId="7F94F1B6" w:rsidR="001155E8" w:rsidRPr="006D6FEB" w:rsidRDefault="00686EEF" w:rsidP="001155E8">
            <w:pPr>
              <w:spacing w:before="0" w:after="0" w:line="240" w:lineRule="auto"/>
              <w:jc w:val="right"/>
              <w:rPr>
                <w:rFonts w:eastAsia="Times New Roman" w:cstheme="minorHAnsi"/>
                <w:color w:val="FF0000"/>
                <w:sz w:val="18"/>
                <w:szCs w:val="18"/>
                <w:u w:val="single"/>
              </w:rPr>
            </w:pPr>
            <w:r w:rsidRPr="004168F4">
              <w:rPr>
                <w:rFonts w:eastAsia="Times New Roman" w:cstheme="minorHAnsi"/>
                <w:color w:val="auto"/>
                <w:sz w:val="18"/>
                <w:szCs w:val="18"/>
                <w:u w:val="single"/>
              </w:rPr>
              <w:t>£675.00</w:t>
            </w:r>
          </w:p>
        </w:tc>
        <w:tc>
          <w:tcPr>
            <w:tcW w:w="1171" w:type="dxa"/>
            <w:tcBorders>
              <w:top w:val="nil"/>
              <w:left w:val="nil"/>
              <w:bottom w:val="single" w:sz="4" w:space="0" w:color="auto"/>
              <w:right w:val="single" w:sz="4" w:space="0" w:color="auto"/>
            </w:tcBorders>
            <w:vAlign w:val="center"/>
          </w:tcPr>
          <w:p w14:paraId="5D97DE48" w14:textId="3DB373EA" w:rsidR="001155E8" w:rsidRPr="006D6FEB" w:rsidRDefault="001155E8" w:rsidP="001155E8">
            <w:pPr>
              <w:spacing w:before="0" w:after="0" w:line="240" w:lineRule="auto"/>
              <w:jc w:val="right"/>
              <w:rPr>
                <w:rFonts w:eastAsia="Times New Roman" w:cstheme="minorHAnsi"/>
                <w:color w:val="FF0000"/>
                <w:sz w:val="18"/>
                <w:szCs w:val="18"/>
                <w:u w:val="single"/>
              </w:rPr>
            </w:pPr>
          </w:p>
        </w:tc>
        <w:tc>
          <w:tcPr>
            <w:tcW w:w="842" w:type="dxa"/>
            <w:gridSpan w:val="2"/>
            <w:tcBorders>
              <w:top w:val="nil"/>
              <w:left w:val="nil"/>
              <w:bottom w:val="single" w:sz="4" w:space="0" w:color="auto"/>
              <w:right w:val="single" w:sz="4" w:space="0" w:color="auto"/>
            </w:tcBorders>
            <w:vAlign w:val="center"/>
          </w:tcPr>
          <w:p w14:paraId="26375E61" w14:textId="2BA7623A" w:rsidR="001155E8" w:rsidRPr="00FB31F5" w:rsidRDefault="001155E8" w:rsidP="001155E8">
            <w:pPr>
              <w:spacing w:before="0" w:after="0" w:line="240" w:lineRule="auto"/>
              <w:jc w:val="right"/>
              <w:rPr>
                <w:rFonts w:eastAsia="Times New Roman" w:cstheme="minorHAnsi"/>
                <w:color w:val="auto"/>
                <w:sz w:val="18"/>
                <w:szCs w:val="18"/>
                <w:u w:val="single"/>
              </w:rPr>
            </w:pPr>
          </w:p>
        </w:tc>
      </w:tr>
      <w:tr w:rsidR="001155E8" w:rsidRPr="004361AA" w14:paraId="6D2264E1" w14:textId="77777777" w:rsidTr="00A71383">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18AE262" w14:textId="6BC26964"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Jevon Khakh</w:t>
            </w:r>
          </w:p>
        </w:tc>
        <w:tc>
          <w:tcPr>
            <w:tcW w:w="2268" w:type="dxa"/>
            <w:gridSpan w:val="3"/>
            <w:tcBorders>
              <w:top w:val="nil"/>
              <w:left w:val="nil"/>
              <w:bottom w:val="single" w:sz="4" w:space="0" w:color="auto"/>
              <w:right w:val="single" w:sz="4" w:space="0" w:color="auto"/>
            </w:tcBorders>
            <w:shd w:val="clear" w:color="auto" w:fill="auto"/>
            <w:noWrap/>
            <w:vAlign w:val="center"/>
          </w:tcPr>
          <w:p w14:paraId="281BAADC" w14:textId="189B5325"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Member</w:t>
            </w:r>
          </w:p>
        </w:tc>
        <w:tc>
          <w:tcPr>
            <w:tcW w:w="523" w:type="dxa"/>
            <w:tcBorders>
              <w:top w:val="nil"/>
              <w:left w:val="nil"/>
              <w:bottom w:val="single" w:sz="4" w:space="0" w:color="auto"/>
              <w:right w:val="single" w:sz="4" w:space="0" w:color="auto"/>
            </w:tcBorders>
            <w:shd w:val="clear" w:color="auto" w:fill="FF0000"/>
            <w:noWrap/>
            <w:vAlign w:val="center"/>
          </w:tcPr>
          <w:p w14:paraId="48768AEB" w14:textId="5B48589E" w:rsidR="001155E8" w:rsidRPr="009875C3" w:rsidRDefault="001155E8" w:rsidP="001155E8">
            <w:pPr>
              <w:spacing w:before="0" w:after="0" w:line="240" w:lineRule="auto"/>
              <w:jc w:val="center"/>
              <w:rPr>
                <w:rFonts w:cs="Calibri"/>
                <w:color w:val="000000"/>
                <w:sz w:val="18"/>
                <w:szCs w:val="18"/>
              </w:rPr>
            </w:pPr>
            <w:r w:rsidRPr="00364B4C">
              <w:rPr>
                <w:rFonts w:cs="Calibri"/>
                <w:color w:val="000000"/>
                <w:sz w:val="18"/>
                <w:szCs w:val="18"/>
              </w:rPr>
              <w:t>x</w:t>
            </w:r>
          </w:p>
        </w:tc>
        <w:tc>
          <w:tcPr>
            <w:tcW w:w="523" w:type="dxa"/>
            <w:gridSpan w:val="2"/>
            <w:tcBorders>
              <w:top w:val="nil"/>
              <w:left w:val="nil"/>
              <w:bottom w:val="single" w:sz="4" w:space="0" w:color="auto"/>
              <w:right w:val="single" w:sz="4" w:space="0" w:color="auto"/>
            </w:tcBorders>
            <w:shd w:val="clear" w:color="auto" w:fill="92D050"/>
            <w:noWrap/>
            <w:vAlign w:val="center"/>
          </w:tcPr>
          <w:p w14:paraId="06BC40C7" w14:textId="77777777" w:rsidR="001155E8" w:rsidRPr="009875C3" w:rsidRDefault="001155E8" w:rsidP="001155E8">
            <w:pPr>
              <w:spacing w:before="0" w:after="0" w:line="240" w:lineRule="auto"/>
              <w:jc w:val="center"/>
              <w:rPr>
                <w:rFonts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7F7F7F" w:themeFill="text2" w:themeFillTint="80"/>
            <w:noWrap/>
            <w:vAlign w:val="center"/>
          </w:tcPr>
          <w:p w14:paraId="7F0DB8E1"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tcBorders>
              <w:top w:val="nil"/>
              <w:left w:val="nil"/>
              <w:bottom w:val="single" w:sz="4" w:space="0" w:color="auto"/>
              <w:right w:val="single" w:sz="4" w:space="0" w:color="auto"/>
            </w:tcBorders>
            <w:shd w:val="clear" w:color="auto" w:fill="7F7F7F" w:themeFill="text2" w:themeFillTint="80"/>
            <w:noWrap/>
            <w:vAlign w:val="center"/>
          </w:tcPr>
          <w:p w14:paraId="4C7A7E7B"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1849" w:type="dxa"/>
            <w:gridSpan w:val="4"/>
            <w:tcBorders>
              <w:top w:val="nil"/>
              <w:left w:val="nil"/>
              <w:bottom w:val="single" w:sz="4" w:space="0" w:color="auto"/>
              <w:right w:val="single" w:sz="4" w:space="0" w:color="auto"/>
            </w:tcBorders>
            <w:shd w:val="clear" w:color="auto" w:fill="auto"/>
            <w:noWrap/>
            <w:vAlign w:val="center"/>
          </w:tcPr>
          <w:p w14:paraId="12532082" w14:textId="6408E41B" w:rsidR="001155E8" w:rsidRPr="006D6FEB" w:rsidRDefault="00767650" w:rsidP="001155E8">
            <w:pPr>
              <w:spacing w:before="0" w:after="0" w:line="240" w:lineRule="auto"/>
              <w:jc w:val="right"/>
              <w:rPr>
                <w:rFonts w:eastAsia="Times New Roman" w:cstheme="minorHAnsi"/>
                <w:color w:val="FF0000"/>
                <w:sz w:val="18"/>
                <w:szCs w:val="18"/>
              </w:rPr>
            </w:pPr>
            <w:r w:rsidRPr="004168F4">
              <w:rPr>
                <w:rFonts w:eastAsia="Times New Roman" w:cstheme="minorHAnsi"/>
                <w:color w:val="auto"/>
                <w:sz w:val="18"/>
                <w:szCs w:val="18"/>
              </w:rPr>
              <w:t>£262.59</w:t>
            </w:r>
          </w:p>
        </w:tc>
        <w:tc>
          <w:tcPr>
            <w:tcW w:w="1171" w:type="dxa"/>
            <w:tcBorders>
              <w:top w:val="nil"/>
              <w:left w:val="nil"/>
              <w:bottom w:val="single" w:sz="4" w:space="0" w:color="auto"/>
              <w:right w:val="single" w:sz="4" w:space="0" w:color="auto"/>
            </w:tcBorders>
            <w:vAlign w:val="center"/>
          </w:tcPr>
          <w:p w14:paraId="1A12DD51" w14:textId="2840EAD9" w:rsidR="001155E8" w:rsidRPr="006D6FEB" w:rsidRDefault="001155E8" w:rsidP="001155E8">
            <w:pPr>
              <w:spacing w:before="0" w:after="0" w:line="240" w:lineRule="auto"/>
              <w:jc w:val="right"/>
              <w:rPr>
                <w:rFonts w:eastAsia="Times New Roman" w:cstheme="minorHAnsi"/>
                <w:color w:val="FF0000"/>
                <w:sz w:val="18"/>
                <w:szCs w:val="18"/>
              </w:rPr>
            </w:pPr>
          </w:p>
        </w:tc>
        <w:tc>
          <w:tcPr>
            <w:tcW w:w="842" w:type="dxa"/>
            <w:gridSpan w:val="2"/>
            <w:tcBorders>
              <w:top w:val="nil"/>
              <w:left w:val="nil"/>
              <w:bottom w:val="single" w:sz="4" w:space="0" w:color="auto"/>
              <w:right w:val="single" w:sz="4" w:space="0" w:color="auto"/>
            </w:tcBorders>
            <w:vAlign w:val="center"/>
          </w:tcPr>
          <w:p w14:paraId="60C127D8" w14:textId="4D0FA614" w:rsidR="001155E8" w:rsidRPr="009875C3" w:rsidRDefault="001155E8" w:rsidP="001155E8">
            <w:pPr>
              <w:spacing w:before="0" w:after="0" w:line="240" w:lineRule="auto"/>
              <w:jc w:val="right"/>
              <w:rPr>
                <w:rFonts w:cs="Calibri"/>
                <w:color w:val="000000"/>
                <w:sz w:val="18"/>
                <w:szCs w:val="18"/>
              </w:rPr>
            </w:pPr>
          </w:p>
        </w:tc>
      </w:tr>
      <w:tr w:rsidR="001155E8" w:rsidRPr="004361AA" w14:paraId="640EE880" w14:textId="77777777" w:rsidTr="00A71383">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3F06B5A" w14:textId="540088D4" w:rsidR="001155E8" w:rsidRPr="009875C3" w:rsidRDefault="001155E8" w:rsidP="001155E8">
            <w:pPr>
              <w:spacing w:before="0" w:after="0" w:line="240" w:lineRule="auto"/>
              <w:rPr>
                <w:rFonts w:eastAsia="Times New Roman" w:cs="Calibri"/>
                <w:color w:val="000000"/>
                <w:sz w:val="18"/>
                <w:szCs w:val="18"/>
              </w:rPr>
            </w:pPr>
            <w:r>
              <w:rPr>
                <w:rFonts w:eastAsia="Times New Roman" w:cs="Calibri"/>
                <w:color w:val="000000"/>
                <w:sz w:val="18"/>
                <w:szCs w:val="18"/>
              </w:rPr>
              <w:t>Nicole Murdock</w:t>
            </w:r>
          </w:p>
        </w:tc>
        <w:tc>
          <w:tcPr>
            <w:tcW w:w="2268" w:type="dxa"/>
            <w:gridSpan w:val="3"/>
            <w:tcBorders>
              <w:top w:val="nil"/>
              <w:left w:val="nil"/>
              <w:bottom w:val="single" w:sz="4" w:space="0" w:color="auto"/>
              <w:right w:val="single" w:sz="4" w:space="0" w:color="auto"/>
            </w:tcBorders>
            <w:shd w:val="clear" w:color="auto" w:fill="auto"/>
            <w:noWrap/>
            <w:vAlign w:val="center"/>
          </w:tcPr>
          <w:p w14:paraId="39531CBC" w14:textId="77777777" w:rsidR="001155E8" w:rsidRPr="009875C3" w:rsidRDefault="001155E8" w:rsidP="001155E8">
            <w:pPr>
              <w:spacing w:before="0" w:after="0" w:line="240" w:lineRule="auto"/>
              <w:rPr>
                <w:rFonts w:eastAsia="Times New Roman" w:cs="Calibri"/>
                <w:color w:val="000000"/>
                <w:sz w:val="18"/>
                <w:szCs w:val="18"/>
              </w:rPr>
            </w:pPr>
            <w:r w:rsidRPr="009875C3">
              <w:rPr>
                <w:rFonts w:eastAsia="Times New Roman" w:cs="Calibri"/>
                <w:color w:val="000000"/>
                <w:sz w:val="18"/>
                <w:szCs w:val="18"/>
              </w:rPr>
              <w:t>Member</w:t>
            </w:r>
          </w:p>
        </w:tc>
        <w:tc>
          <w:tcPr>
            <w:tcW w:w="523" w:type="dxa"/>
            <w:tcBorders>
              <w:top w:val="nil"/>
              <w:left w:val="nil"/>
              <w:bottom w:val="single" w:sz="4" w:space="0" w:color="auto"/>
              <w:right w:val="single" w:sz="4" w:space="0" w:color="auto"/>
            </w:tcBorders>
            <w:shd w:val="clear" w:color="auto" w:fill="7F7F7F" w:themeFill="accent6" w:themeFillTint="80"/>
            <w:noWrap/>
            <w:vAlign w:val="center"/>
          </w:tcPr>
          <w:p w14:paraId="44822540" w14:textId="2A732D25"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4FDBD0A1" w14:textId="7F40644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3EDF9C29" w14:textId="78AF16CA" w:rsidR="001155E8" w:rsidRPr="009875C3" w:rsidRDefault="001155E8" w:rsidP="001155E8">
            <w:pPr>
              <w:spacing w:before="0" w:after="0" w:line="240" w:lineRule="auto"/>
              <w:jc w:val="center"/>
              <w:rPr>
                <w:rFonts w:eastAsia="Times New Roman" w:cs="Calibri"/>
                <w:color w:val="000000"/>
                <w:sz w:val="18"/>
                <w:szCs w:val="18"/>
              </w:rPr>
            </w:pPr>
          </w:p>
        </w:tc>
        <w:tc>
          <w:tcPr>
            <w:tcW w:w="523" w:type="dxa"/>
            <w:tcBorders>
              <w:top w:val="nil"/>
              <w:left w:val="nil"/>
              <w:bottom w:val="single" w:sz="4" w:space="0" w:color="auto"/>
              <w:right w:val="single" w:sz="4" w:space="0" w:color="auto"/>
            </w:tcBorders>
            <w:shd w:val="clear" w:color="auto" w:fill="FF0000"/>
            <w:noWrap/>
            <w:vAlign w:val="center"/>
          </w:tcPr>
          <w:p w14:paraId="2376AB69" w14:textId="1F2E70F4" w:rsidR="001155E8" w:rsidRPr="009875C3" w:rsidRDefault="001155E8" w:rsidP="001155E8">
            <w:pPr>
              <w:spacing w:before="0" w:after="0" w:line="240" w:lineRule="auto"/>
              <w:jc w:val="center"/>
              <w:rPr>
                <w:rFonts w:eastAsia="Times New Roman" w:cs="Calibri"/>
                <w:color w:val="000000"/>
                <w:sz w:val="18"/>
                <w:szCs w:val="18"/>
              </w:rPr>
            </w:pPr>
            <w:r>
              <w:rPr>
                <w:rFonts w:eastAsia="Times New Roman" w:cs="Calibri"/>
                <w:color w:val="000000"/>
                <w:sz w:val="18"/>
                <w:szCs w:val="18"/>
              </w:rPr>
              <w:t>x</w:t>
            </w:r>
          </w:p>
        </w:tc>
        <w:tc>
          <w:tcPr>
            <w:tcW w:w="1849" w:type="dxa"/>
            <w:gridSpan w:val="4"/>
            <w:tcBorders>
              <w:top w:val="nil"/>
              <w:left w:val="nil"/>
              <w:bottom w:val="single" w:sz="4" w:space="0" w:color="auto"/>
              <w:right w:val="single" w:sz="4" w:space="0" w:color="auto"/>
            </w:tcBorders>
            <w:shd w:val="clear" w:color="auto" w:fill="auto"/>
            <w:noWrap/>
            <w:vAlign w:val="center"/>
          </w:tcPr>
          <w:p w14:paraId="1A9A9ECF" w14:textId="70125530" w:rsidR="001155E8" w:rsidRPr="006D6FEB" w:rsidRDefault="00056BBA" w:rsidP="001155E8">
            <w:pPr>
              <w:spacing w:before="0" w:after="0" w:line="240" w:lineRule="auto"/>
              <w:jc w:val="right"/>
              <w:rPr>
                <w:rFonts w:eastAsia="Times New Roman" w:cstheme="minorHAnsi"/>
                <w:color w:val="FF0000"/>
                <w:sz w:val="18"/>
                <w:szCs w:val="18"/>
              </w:rPr>
            </w:pPr>
            <w:r w:rsidRPr="006D6FEB">
              <w:rPr>
                <w:rFonts w:eastAsia="Times New Roman" w:cstheme="minorHAnsi"/>
                <w:color w:val="auto"/>
                <w:sz w:val="18"/>
                <w:szCs w:val="18"/>
              </w:rPr>
              <w:t>£480.00</w:t>
            </w:r>
          </w:p>
        </w:tc>
        <w:tc>
          <w:tcPr>
            <w:tcW w:w="1171" w:type="dxa"/>
            <w:tcBorders>
              <w:top w:val="nil"/>
              <w:left w:val="nil"/>
              <w:bottom w:val="single" w:sz="4" w:space="0" w:color="auto"/>
              <w:right w:val="single" w:sz="4" w:space="0" w:color="auto"/>
            </w:tcBorders>
            <w:vAlign w:val="center"/>
          </w:tcPr>
          <w:p w14:paraId="38CB1F80" w14:textId="2C2163B1" w:rsidR="001155E8" w:rsidRPr="006D6FEB" w:rsidRDefault="001155E8" w:rsidP="001155E8">
            <w:pPr>
              <w:spacing w:before="0" w:after="0" w:line="240" w:lineRule="auto"/>
              <w:jc w:val="right"/>
              <w:rPr>
                <w:rFonts w:eastAsia="Times New Roman" w:cstheme="minorHAnsi"/>
                <w:color w:val="FF0000"/>
                <w:sz w:val="18"/>
                <w:szCs w:val="18"/>
              </w:rPr>
            </w:pPr>
          </w:p>
        </w:tc>
        <w:tc>
          <w:tcPr>
            <w:tcW w:w="842" w:type="dxa"/>
            <w:gridSpan w:val="2"/>
            <w:tcBorders>
              <w:top w:val="nil"/>
              <w:left w:val="nil"/>
              <w:bottom w:val="single" w:sz="4" w:space="0" w:color="auto"/>
              <w:right w:val="single" w:sz="4" w:space="0" w:color="auto"/>
            </w:tcBorders>
            <w:vAlign w:val="center"/>
          </w:tcPr>
          <w:p w14:paraId="63844318" w14:textId="5E045A10" w:rsidR="001155E8" w:rsidRPr="009875C3" w:rsidRDefault="001155E8" w:rsidP="001155E8">
            <w:pPr>
              <w:spacing w:before="0" w:after="0" w:line="240" w:lineRule="auto"/>
              <w:jc w:val="right"/>
              <w:rPr>
                <w:rFonts w:eastAsia="Times New Roman" w:cstheme="minorHAnsi"/>
                <w:color w:val="000000"/>
                <w:sz w:val="18"/>
                <w:szCs w:val="18"/>
              </w:rPr>
            </w:pPr>
          </w:p>
        </w:tc>
      </w:tr>
      <w:tr w:rsidR="001155E8" w:rsidRPr="004361AA" w14:paraId="76442F1C" w14:textId="77777777" w:rsidTr="0076405D">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67DE1BE" w14:textId="1625A595" w:rsidR="001155E8" w:rsidRDefault="001155E8" w:rsidP="001155E8">
            <w:pPr>
              <w:spacing w:before="0" w:after="0" w:line="240" w:lineRule="auto"/>
              <w:rPr>
                <w:rFonts w:eastAsia="Times New Roman" w:cs="Calibri"/>
                <w:color w:val="000000"/>
                <w:sz w:val="18"/>
                <w:szCs w:val="18"/>
              </w:rPr>
            </w:pPr>
            <w:r>
              <w:rPr>
                <w:rFonts w:eastAsia="Times New Roman" w:cs="Calibri"/>
                <w:color w:val="000000"/>
                <w:sz w:val="18"/>
                <w:szCs w:val="18"/>
              </w:rPr>
              <w:t>Kav Hundle</w:t>
            </w:r>
          </w:p>
        </w:tc>
        <w:tc>
          <w:tcPr>
            <w:tcW w:w="2268" w:type="dxa"/>
            <w:gridSpan w:val="3"/>
            <w:tcBorders>
              <w:top w:val="nil"/>
              <w:left w:val="nil"/>
              <w:bottom w:val="single" w:sz="4" w:space="0" w:color="auto"/>
              <w:right w:val="single" w:sz="4" w:space="0" w:color="auto"/>
            </w:tcBorders>
            <w:shd w:val="clear" w:color="auto" w:fill="auto"/>
            <w:noWrap/>
            <w:vAlign w:val="center"/>
          </w:tcPr>
          <w:p w14:paraId="2649DFC3" w14:textId="0EE26704" w:rsidR="001155E8" w:rsidRPr="009875C3" w:rsidRDefault="001155E8" w:rsidP="001155E8">
            <w:pPr>
              <w:spacing w:before="0" w:after="0" w:line="240" w:lineRule="auto"/>
              <w:rPr>
                <w:rFonts w:eastAsia="Times New Roman" w:cs="Calibri"/>
                <w:color w:val="000000"/>
                <w:sz w:val="18"/>
                <w:szCs w:val="18"/>
              </w:rPr>
            </w:pPr>
            <w:r>
              <w:rPr>
                <w:rFonts w:eastAsia="Times New Roman" w:cs="Calibri"/>
                <w:color w:val="000000"/>
                <w:sz w:val="18"/>
                <w:szCs w:val="18"/>
              </w:rPr>
              <w:t>Member</w:t>
            </w:r>
          </w:p>
        </w:tc>
        <w:tc>
          <w:tcPr>
            <w:tcW w:w="523" w:type="dxa"/>
            <w:tcBorders>
              <w:top w:val="nil"/>
              <w:left w:val="nil"/>
              <w:bottom w:val="single" w:sz="4" w:space="0" w:color="auto"/>
              <w:right w:val="single" w:sz="4" w:space="0" w:color="auto"/>
            </w:tcBorders>
            <w:shd w:val="clear" w:color="auto" w:fill="7F7F7F" w:themeFill="accent6" w:themeFillTint="80"/>
            <w:noWrap/>
            <w:vAlign w:val="center"/>
          </w:tcPr>
          <w:p w14:paraId="7B19F5FB"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7F7F7F" w:themeFill="accent6" w:themeFillTint="80"/>
            <w:noWrap/>
            <w:vAlign w:val="center"/>
          </w:tcPr>
          <w:p w14:paraId="2DFE9C97"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92D050"/>
            <w:noWrap/>
            <w:vAlign w:val="center"/>
          </w:tcPr>
          <w:p w14:paraId="1BCA10D1"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tcBorders>
              <w:top w:val="nil"/>
              <w:left w:val="nil"/>
              <w:bottom w:val="single" w:sz="4" w:space="0" w:color="auto"/>
              <w:right w:val="single" w:sz="4" w:space="0" w:color="auto"/>
            </w:tcBorders>
            <w:shd w:val="clear" w:color="auto" w:fill="92D050"/>
            <w:noWrap/>
            <w:vAlign w:val="center"/>
          </w:tcPr>
          <w:p w14:paraId="31F3F21A"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1849" w:type="dxa"/>
            <w:gridSpan w:val="4"/>
            <w:tcBorders>
              <w:top w:val="nil"/>
              <w:left w:val="nil"/>
              <w:bottom w:val="single" w:sz="4" w:space="0" w:color="auto"/>
              <w:right w:val="single" w:sz="4" w:space="0" w:color="auto"/>
            </w:tcBorders>
            <w:shd w:val="clear" w:color="auto" w:fill="auto"/>
            <w:noWrap/>
            <w:vAlign w:val="center"/>
          </w:tcPr>
          <w:p w14:paraId="769B908E" w14:textId="67FB701D" w:rsidR="001155E8" w:rsidRPr="006D6FEB" w:rsidDel="001910A8" w:rsidRDefault="00056BBA" w:rsidP="001155E8">
            <w:pPr>
              <w:spacing w:before="0" w:after="0" w:line="240" w:lineRule="auto"/>
              <w:jc w:val="right"/>
              <w:rPr>
                <w:rFonts w:eastAsia="Times New Roman" w:cs="Calibri"/>
                <w:color w:val="FF0000"/>
                <w:sz w:val="18"/>
                <w:szCs w:val="18"/>
                <w:lang w:eastAsia="en-GB"/>
              </w:rPr>
            </w:pPr>
            <w:r w:rsidRPr="00845EE0">
              <w:rPr>
                <w:rFonts w:eastAsia="Times New Roman" w:cs="Calibri"/>
                <w:color w:val="auto"/>
                <w:sz w:val="18"/>
                <w:szCs w:val="18"/>
                <w:lang w:eastAsia="en-GB"/>
              </w:rPr>
              <w:t>£594.30</w:t>
            </w:r>
          </w:p>
        </w:tc>
        <w:tc>
          <w:tcPr>
            <w:tcW w:w="1171" w:type="dxa"/>
            <w:tcBorders>
              <w:top w:val="nil"/>
              <w:left w:val="nil"/>
              <w:bottom w:val="single" w:sz="4" w:space="0" w:color="auto"/>
              <w:right w:val="single" w:sz="4" w:space="0" w:color="auto"/>
            </w:tcBorders>
            <w:vAlign w:val="center"/>
          </w:tcPr>
          <w:p w14:paraId="490591DE" w14:textId="77777777" w:rsidR="001155E8" w:rsidRPr="006D6FEB" w:rsidDel="001910A8" w:rsidRDefault="001155E8" w:rsidP="001155E8">
            <w:pPr>
              <w:spacing w:before="0" w:after="0" w:line="240" w:lineRule="auto"/>
              <w:jc w:val="right"/>
              <w:rPr>
                <w:rFonts w:eastAsia="Times New Roman" w:cs="Calibri"/>
                <w:color w:val="FF0000"/>
                <w:sz w:val="18"/>
                <w:szCs w:val="18"/>
                <w:lang w:eastAsia="en-GB"/>
              </w:rPr>
            </w:pPr>
          </w:p>
        </w:tc>
        <w:tc>
          <w:tcPr>
            <w:tcW w:w="842" w:type="dxa"/>
            <w:gridSpan w:val="2"/>
            <w:tcBorders>
              <w:top w:val="nil"/>
              <w:left w:val="nil"/>
              <w:bottom w:val="single" w:sz="4" w:space="0" w:color="auto"/>
              <w:right w:val="single" w:sz="4" w:space="0" w:color="auto"/>
            </w:tcBorders>
            <w:vAlign w:val="center"/>
          </w:tcPr>
          <w:p w14:paraId="75B9DC45" w14:textId="77777777" w:rsidR="001155E8" w:rsidRPr="000149EF" w:rsidDel="001910A8" w:rsidRDefault="001155E8" w:rsidP="001155E8">
            <w:pPr>
              <w:spacing w:before="0" w:after="0" w:line="240" w:lineRule="auto"/>
              <w:jc w:val="right"/>
              <w:rPr>
                <w:rFonts w:ascii="Calibri" w:eastAsia="Times New Roman" w:hAnsi="Calibri" w:cs="Calibri"/>
                <w:color w:val="000000"/>
                <w:sz w:val="20"/>
                <w:szCs w:val="20"/>
                <w:lang w:eastAsia="en-GB"/>
              </w:rPr>
            </w:pPr>
          </w:p>
        </w:tc>
      </w:tr>
      <w:tr w:rsidR="001155E8" w:rsidRPr="004361AA" w14:paraId="4F30130F" w14:textId="77777777" w:rsidTr="0076405D">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5E38D717" w14:textId="2BA91C36" w:rsidR="001155E8" w:rsidRDefault="001155E8" w:rsidP="001155E8">
            <w:pPr>
              <w:spacing w:before="0" w:after="0" w:line="240" w:lineRule="auto"/>
              <w:rPr>
                <w:rFonts w:eastAsia="Times New Roman" w:cs="Calibri"/>
                <w:color w:val="000000"/>
                <w:sz w:val="18"/>
                <w:szCs w:val="18"/>
              </w:rPr>
            </w:pPr>
            <w:r>
              <w:rPr>
                <w:rFonts w:eastAsia="Times New Roman" w:cs="Calibri"/>
                <w:color w:val="000000"/>
                <w:sz w:val="18"/>
                <w:szCs w:val="18"/>
              </w:rPr>
              <w:t>Muhammad Zafar</w:t>
            </w:r>
          </w:p>
        </w:tc>
        <w:tc>
          <w:tcPr>
            <w:tcW w:w="2268" w:type="dxa"/>
            <w:gridSpan w:val="3"/>
            <w:tcBorders>
              <w:top w:val="nil"/>
              <w:left w:val="nil"/>
              <w:bottom w:val="single" w:sz="4" w:space="0" w:color="auto"/>
              <w:right w:val="single" w:sz="4" w:space="0" w:color="auto"/>
            </w:tcBorders>
            <w:shd w:val="clear" w:color="auto" w:fill="auto"/>
            <w:noWrap/>
            <w:vAlign w:val="center"/>
          </w:tcPr>
          <w:p w14:paraId="45A06A31" w14:textId="375F81CA" w:rsidR="001155E8" w:rsidRPr="009875C3" w:rsidRDefault="001155E8" w:rsidP="001155E8">
            <w:pPr>
              <w:spacing w:before="0" w:after="0" w:line="240" w:lineRule="auto"/>
              <w:rPr>
                <w:rFonts w:eastAsia="Times New Roman" w:cs="Calibri"/>
                <w:color w:val="000000"/>
                <w:sz w:val="18"/>
                <w:szCs w:val="18"/>
              </w:rPr>
            </w:pPr>
            <w:r>
              <w:rPr>
                <w:rFonts w:eastAsia="Times New Roman" w:cs="Calibri"/>
                <w:color w:val="000000"/>
                <w:sz w:val="18"/>
                <w:szCs w:val="18"/>
              </w:rPr>
              <w:t>Member</w:t>
            </w:r>
          </w:p>
        </w:tc>
        <w:tc>
          <w:tcPr>
            <w:tcW w:w="523" w:type="dxa"/>
            <w:tcBorders>
              <w:top w:val="nil"/>
              <w:left w:val="nil"/>
              <w:bottom w:val="single" w:sz="4" w:space="0" w:color="auto"/>
              <w:right w:val="single" w:sz="4" w:space="0" w:color="auto"/>
            </w:tcBorders>
            <w:shd w:val="clear" w:color="auto" w:fill="7F7F7F" w:themeFill="accent6" w:themeFillTint="80"/>
            <w:noWrap/>
            <w:vAlign w:val="center"/>
          </w:tcPr>
          <w:p w14:paraId="3616B5AA"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7F7F7F" w:themeFill="accent6" w:themeFillTint="80"/>
            <w:noWrap/>
            <w:vAlign w:val="center"/>
          </w:tcPr>
          <w:p w14:paraId="204408C3"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gridSpan w:val="2"/>
            <w:tcBorders>
              <w:top w:val="nil"/>
              <w:left w:val="nil"/>
              <w:bottom w:val="single" w:sz="4" w:space="0" w:color="auto"/>
              <w:right w:val="single" w:sz="4" w:space="0" w:color="auto"/>
            </w:tcBorders>
            <w:shd w:val="clear" w:color="auto" w:fill="7F7F7F" w:themeFill="accent6" w:themeFillTint="80"/>
            <w:noWrap/>
            <w:vAlign w:val="center"/>
          </w:tcPr>
          <w:p w14:paraId="6D10D7AF"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523" w:type="dxa"/>
            <w:tcBorders>
              <w:top w:val="nil"/>
              <w:left w:val="nil"/>
              <w:bottom w:val="single" w:sz="4" w:space="0" w:color="auto"/>
              <w:right w:val="single" w:sz="4" w:space="0" w:color="auto"/>
            </w:tcBorders>
            <w:shd w:val="clear" w:color="auto" w:fill="92D050"/>
            <w:noWrap/>
            <w:vAlign w:val="center"/>
          </w:tcPr>
          <w:p w14:paraId="3A2F5347" w14:textId="77777777" w:rsidR="001155E8" w:rsidRPr="009875C3" w:rsidRDefault="001155E8" w:rsidP="001155E8">
            <w:pPr>
              <w:spacing w:before="0" w:after="0" w:line="240" w:lineRule="auto"/>
              <w:jc w:val="center"/>
              <w:rPr>
                <w:rFonts w:eastAsia="Times New Roman" w:cs="Calibri"/>
                <w:color w:val="000000"/>
                <w:sz w:val="18"/>
                <w:szCs w:val="18"/>
              </w:rPr>
            </w:pPr>
          </w:p>
        </w:tc>
        <w:tc>
          <w:tcPr>
            <w:tcW w:w="1849" w:type="dxa"/>
            <w:gridSpan w:val="4"/>
            <w:tcBorders>
              <w:top w:val="nil"/>
              <w:left w:val="nil"/>
              <w:bottom w:val="single" w:sz="4" w:space="0" w:color="auto"/>
              <w:right w:val="single" w:sz="4" w:space="0" w:color="auto"/>
            </w:tcBorders>
            <w:shd w:val="clear" w:color="auto" w:fill="auto"/>
            <w:noWrap/>
            <w:vAlign w:val="center"/>
          </w:tcPr>
          <w:p w14:paraId="449AAAA0" w14:textId="34170FD4" w:rsidR="002429D5" w:rsidRPr="006D6FEB" w:rsidDel="001910A8" w:rsidRDefault="002429D5" w:rsidP="002429D5">
            <w:pPr>
              <w:spacing w:before="0" w:after="0" w:line="240" w:lineRule="auto"/>
              <w:jc w:val="right"/>
              <w:rPr>
                <w:rFonts w:eastAsia="Times New Roman" w:cs="Calibri"/>
                <w:color w:val="FF0000"/>
                <w:sz w:val="18"/>
                <w:szCs w:val="18"/>
                <w:lang w:eastAsia="en-GB"/>
              </w:rPr>
            </w:pPr>
            <w:r w:rsidRPr="00845EE0">
              <w:rPr>
                <w:rFonts w:eastAsia="Times New Roman" w:cs="Calibri"/>
                <w:color w:val="auto"/>
                <w:sz w:val="18"/>
                <w:szCs w:val="18"/>
                <w:lang w:eastAsia="en-GB"/>
              </w:rPr>
              <w:t>£375.10</w:t>
            </w:r>
          </w:p>
        </w:tc>
        <w:tc>
          <w:tcPr>
            <w:tcW w:w="1171" w:type="dxa"/>
            <w:tcBorders>
              <w:top w:val="nil"/>
              <w:left w:val="nil"/>
              <w:bottom w:val="single" w:sz="4" w:space="0" w:color="auto"/>
              <w:right w:val="single" w:sz="4" w:space="0" w:color="auto"/>
            </w:tcBorders>
            <w:vAlign w:val="center"/>
          </w:tcPr>
          <w:p w14:paraId="7C90A22D" w14:textId="77777777" w:rsidR="001155E8" w:rsidRPr="006D6FEB" w:rsidDel="001910A8" w:rsidRDefault="001155E8" w:rsidP="001155E8">
            <w:pPr>
              <w:spacing w:before="0" w:after="0" w:line="240" w:lineRule="auto"/>
              <w:jc w:val="right"/>
              <w:rPr>
                <w:rFonts w:eastAsia="Times New Roman" w:cs="Calibri"/>
                <w:color w:val="FF0000"/>
                <w:sz w:val="18"/>
                <w:szCs w:val="18"/>
                <w:lang w:eastAsia="en-GB"/>
              </w:rPr>
            </w:pPr>
          </w:p>
        </w:tc>
        <w:tc>
          <w:tcPr>
            <w:tcW w:w="842" w:type="dxa"/>
            <w:gridSpan w:val="2"/>
            <w:tcBorders>
              <w:top w:val="nil"/>
              <w:left w:val="nil"/>
              <w:bottom w:val="single" w:sz="4" w:space="0" w:color="auto"/>
              <w:right w:val="single" w:sz="4" w:space="0" w:color="auto"/>
            </w:tcBorders>
            <w:vAlign w:val="center"/>
          </w:tcPr>
          <w:p w14:paraId="53AA8152" w14:textId="77777777" w:rsidR="001155E8" w:rsidRPr="000149EF" w:rsidDel="001910A8" w:rsidRDefault="001155E8" w:rsidP="001155E8">
            <w:pPr>
              <w:spacing w:before="0" w:after="0" w:line="240" w:lineRule="auto"/>
              <w:jc w:val="right"/>
              <w:rPr>
                <w:rFonts w:ascii="Calibri" w:eastAsia="Times New Roman" w:hAnsi="Calibri" w:cs="Calibri"/>
                <w:color w:val="000000"/>
                <w:sz w:val="20"/>
                <w:szCs w:val="20"/>
                <w:lang w:eastAsia="en-GB"/>
              </w:rPr>
            </w:pPr>
          </w:p>
        </w:tc>
      </w:tr>
      <w:tr w:rsidR="001155E8" w:rsidRPr="009875C3" w14:paraId="763D82C0" w14:textId="77777777" w:rsidTr="00A71383">
        <w:trPr>
          <w:trHeight w:hRule="exact" w:val="113"/>
        </w:trPr>
        <w:tc>
          <w:tcPr>
            <w:tcW w:w="6070" w:type="dxa"/>
            <w:gridSpan w:val="12"/>
            <w:tcBorders>
              <w:top w:val="single" w:sz="4" w:space="0" w:color="auto"/>
            </w:tcBorders>
            <w:shd w:val="clear" w:color="auto" w:fill="auto"/>
            <w:noWrap/>
            <w:vAlign w:val="center"/>
          </w:tcPr>
          <w:p w14:paraId="2AFA6F36" w14:textId="3E99B545" w:rsidR="001155E8" w:rsidRPr="009875C3" w:rsidRDefault="001155E8" w:rsidP="001155E8">
            <w:pPr>
              <w:spacing w:before="0" w:after="0" w:line="240" w:lineRule="auto"/>
              <w:rPr>
                <w:rFonts w:cs="Calibri"/>
                <w:color w:val="BFBFBF" w:themeColor="background2" w:themeShade="BF"/>
                <w:sz w:val="18"/>
                <w:szCs w:val="18"/>
              </w:rPr>
            </w:pPr>
          </w:p>
        </w:tc>
        <w:tc>
          <w:tcPr>
            <w:tcW w:w="1840" w:type="dxa"/>
            <w:gridSpan w:val="3"/>
            <w:tcBorders>
              <w:top w:val="single" w:sz="4" w:space="0" w:color="auto"/>
            </w:tcBorders>
            <w:shd w:val="clear" w:color="auto" w:fill="auto"/>
            <w:noWrap/>
            <w:vAlign w:val="bottom"/>
          </w:tcPr>
          <w:p w14:paraId="648935FE" w14:textId="11DADE1B" w:rsidR="001155E8" w:rsidRPr="009875C3" w:rsidRDefault="001155E8" w:rsidP="001155E8">
            <w:pPr>
              <w:spacing w:before="0" w:after="0" w:line="240" w:lineRule="auto"/>
              <w:jc w:val="right"/>
              <w:rPr>
                <w:rFonts w:cs="Calibri"/>
                <w:color w:val="000000"/>
                <w:sz w:val="18"/>
                <w:szCs w:val="18"/>
              </w:rPr>
            </w:pPr>
          </w:p>
        </w:tc>
        <w:tc>
          <w:tcPr>
            <w:tcW w:w="1171" w:type="dxa"/>
            <w:tcBorders>
              <w:top w:val="single" w:sz="4" w:space="0" w:color="auto"/>
            </w:tcBorders>
            <w:vAlign w:val="bottom"/>
          </w:tcPr>
          <w:p w14:paraId="7EE94722" w14:textId="46A061F5" w:rsidR="001155E8" w:rsidRPr="009875C3" w:rsidRDefault="001155E8" w:rsidP="001155E8">
            <w:pPr>
              <w:spacing w:before="0" w:after="0" w:line="240" w:lineRule="auto"/>
              <w:jc w:val="right"/>
              <w:rPr>
                <w:rFonts w:cs="Calibri"/>
                <w:color w:val="000000"/>
                <w:sz w:val="18"/>
                <w:szCs w:val="18"/>
              </w:rPr>
            </w:pPr>
          </w:p>
        </w:tc>
        <w:tc>
          <w:tcPr>
            <w:tcW w:w="842" w:type="dxa"/>
            <w:gridSpan w:val="2"/>
            <w:tcBorders>
              <w:top w:val="single" w:sz="4" w:space="0" w:color="auto"/>
            </w:tcBorders>
            <w:vAlign w:val="bottom"/>
          </w:tcPr>
          <w:p w14:paraId="565AD8D7" w14:textId="3479FB09" w:rsidR="001155E8" w:rsidRPr="009875C3" w:rsidRDefault="001155E8" w:rsidP="001155E8">
            <w:pPr>
              <w:spacing w:before="0" w:after="0" w:line="240" w:lineRule="auto"/>
              <w:jc w:val="right"/>
              <w:rPr>
                <w:rFonts w:cs="Calibri"/>
                <w:color w:val="000000"/>
                <w:sz w:val="18"/>
                <w:szCs w:val="18"/>
              </w:rPr>
            </w:pPr>
          </w:p>
        </w:tc>
      </w:tr>
      <w:tr w:rsidR="001155E8" w:rsidRPr="00993124" w14:paraId="6B8E2CF9" w14:textId="77777777" w:rsidTr="00A71383">
        <w:trPr>
          <w:gridAfter w:val="1"/>
          <w:wAfter w:w="195" w:type="dxa"/>
          <w:cantSplit/>
          <w:trHeight w:hRule="exact" w:val="227"/>
        </w:trPr>
        <w:tc>
          <w:tcPr>
            <w:tcW w:w="400" w:type="dxa"/>
            <w:tcBorders>
              <w:top w:val="nil"/>
              <w:left w:val="nil"/>
              <w:bottom w:val="nil"/>
              <w:right w:val="nil"/>
            </w:tcBorders>
            <w:shd w:val="clear" w:color="000000" w:fill="FF0000"/>
            <w:noWrap/>
            <w:hideMark/>
          </w:tcPr>
          <w:p w14:paraId="104B5E07" w14:textId="77777777" w:rsidR="001155E8" w:rsidRPr="00993124" w:rsidRDefault="001155E8" w:rsidP="001155E8">
            <w:pPr>
              <w:spacing w:before="0" w:after="0" w:line="240" w:lineRule="auto"/>
              <w:jc w:val="center"/>
              <w:rPr>
                <w:rFonts w:eastAsia="Times New Roman"/>
                <w:color w:val="000000"/>
                <w:sz w:val="18"/>
                <w:szCs w:val="18"/>
                <w:lang w:eastAsia="en-GB"/>
              </w:rPr>
            </w:pPr>
            <w:r w:rsidRPr="00993124">
              <w:rPr>
                <w:rFonts w:eastAsia="Times New Roman"/>
                <w:color w:val="000000"/>
                <w:sz w:val="18"/>
                <w:szCs w:val="18"/>
                <w:lang w:eastAsia="en-GB"/>
              </w:rPr>
              <w:t>x</w:t>
            </w:r>
          </w:p>
        </w:tc>
        <w:tc>
          <w:tcPr>
            <w:tcW w:w="1585" w:type="dxa"/>
            <w:gridSpan w:val="2"/>
            <w:tcBorders>
              <w:top w:val="nil"/>
              <w:left w:val="nil"/>
              <w:bottom w:val="nil"/>
              <w:right w:val="nil"/>
            </w:tcBorders>
            <w:shd w:val="clear" w:color="auto" w:fill="auto"/>
            <w:noWrap/>
            <w:hideMark/>
          </w:tcPr>
          <w:p w14:paraId="3662F382"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Apologies</w:t>
            </w:r>
          </w:p>
        </w:tc>
        <w:tc>
          <w:tcPr>
            <w:tcW w:w="400" w:type="dxa"/>
            <w:tcBorders>
              <w:top w:val="nil"/>
              <w:left w:val="nil"/>
              <w:bottom w:val="nil"/>
              <w:right w:val="nil"/>
            </w:tcBorders>
            <w:shd w:val="clear" w:color="000000" w:fill="FFC000"/>
            <w:noWrap/>
            <w:hideMark/>
          </w:tcPr>
          <w:p w14:paraId="0D248837"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 </w:t>
            </w:r>
          </w:p>
        </w:tc>
        <w:tc>
          <w:tcPr>
            <w:tcW w:w="2425" w:type="dxa"/>
            <w:gridSpan w:val="3"/>
            <w:tcBorders>
              <w:top w:val="nil"/>
              <w:left w:val="nil"/>
              <w:bottom w:val="nil"/>
              <w:right w:val="nil"/>
            </w:tcBorders>
            <w:shd w:val="clear" w:color="auto" w:fill="auto"/>
            <w:noWrap/>
            <w:hideMark/>
          </w:tcPr>
          <w:p w14:paraId="4D8A4C1E"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Part Attended</w:t>
            </w:r>
          </w:p>
        </w:tc>
        <w:tc>
          <w:tcPr>
            <w:tcW w:w="484" w:type="dxa"/>
            <w:gridSpan w:val="2"/>
            <w:tcBorders>
              <w:top w:val="nil"/>
              <w:left w:val="nil"/>
              <w:bottom w:val="nil"/>
              <w:right w:val="nil"/>
            </w:tcBorders>
            <w:shd w:val="clear" w:color="000000" w:fill="92D050"/>
            <w:noWrap/>
            <w:hideMark/>
          </w:tcPr>
          <w:p w14:paraId="4D970632"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 </w:t>
            </w:r>
          </w:p>
        </w:tc>
        <w:tc>
          <w:tcPr>
            <w:tcW w:w="1532" w:type="dxa"/>
            <w:gridSpan w:val="4"/>
            <w:tcBorders>
              <w:top w:val="nil"/>
              <w:left w:val="nil"/>
              <w:bottom w:val="nil"/>
              <w:right w:val="nil"/>
            </w:tcBorders>
            <w:shd w:val="clear" w:color="auto" w:fill="auto"/>
            <w:noWrap/>
            <w:hideMark/>
          </w:tcPr>
          <w:p w14:paraId="35D58A33"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Attended</w:t>
            </w:r>
          </w:p>
        </w:tc>
        <w:tc>
          <w:tcPr>
            <w:tcW w:w="400" w:type="dxa"/>
            <w:tcBorders>
              <w:top w:val="nil"/>
              <w:left w:val="nil"/>
              <w:bottom w:val="nil"/>
              <w:right w:val="nil"/>
            </w:tcBorders>
            <w:shd w:val="clear" w:color="000000" w:fill="808080"/>
            <w:noWrap/>
            <w:hideMark/>
          </w:tcPr>
          <w:p w14:paraId="5C239ECB"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 </w:t>
            </w:r>
          </w:p>
        </w:tc>
        <w:tc>
          <w:tcPr>
            <w:tcW w:w="2502" w:type="dxa"/>
            <w:gridSpan w:val="3"/>
            <w:tcBorders>
              <w:top w:val="nil"/>
              <w:left w:val="nil"/>
              <w:bottom w:val="nil"/>
              <w:right w:val="nil"/>
            </w:tcBorders>
            <w:shd w:val="clear" w:color="auto" w:fill="auto"/>
            <w:noWrap/>
            <w:hideMark/>
          </w:tcPr>
          <w:p w14:paraId="5D8FAA89" w14:textId="77777777" w:rsidR="001155E8" w:rsidRPr="00993124" w:rsidRDefault="001155E8" w:rsidP="001155E8">
            <w:pPr>
              <w:spacing w:before="0" w:after="0" w:line="240" w:lineRule="auto"/>
              <w:rPr>
                <w:rFonts w:eastAsia="Times New Roman"/>
                <w:color w:val="000000"/>
                <w:sz w:val="18"/>
                <w:szCs w:val="18"/>
                <w:lang w:eastAsia="en-GB"/>
              </w:rPr>
            </w:pPr>
            <w:r w:rsidRPr="00993124">
              <w:rPr>
                <w:rFonts w:eastAsia="Times New Roman"/>
                <w:color w:val="000000"/>
                <w:sz w:val="18"/>
                <w:szCs w:val="18"/>
                <w:lang w:eastAsia="en-GB"/>
              </w:rPr>
              <w:t>Not a member at this date</w:t>
            </w:r>
          </w:p>
        </w:tc>
      </w:tr>
    </w:tbl>
    <w:p w14:paraId="56C8427D" w14:textId="429853C1" w:rsidR="00D8498F" w:rsidRPr="004624E3" w:rsidRDefault="00D8498F" w:rsidP="00900144">
      <w:pPr>
        <w:pStyle w:val="Heading3"/>
      </w:pPr>
      <w:r w:rsidRPr="004624E3">
        <w:lastRenderedPageBreak/>
        <w:t>Sub-Committees/Groups</w:t>
      </w:r>
      <w:r w:rsidRPr="004624E3">
        <w:br/>
      </w:r>
    </w:p>
    <w:p w14:paraId="5BAB9026" w14:textId="549F6C97" w:rsidR="00D8498F" w:rsidRPr="00C950E8" w:rsidRDefault="00D8498F" w:rsidP="00D32CA0">
      <w:pPr>
        <w:spacing w:before="0" w:after="0"/>
        <w:jc w:val="both"/>
        <w:rPr>
          <w:rFonts w:cstheme="minorHAnsi"/>
        </w:rPr>
      </w:pPr>
      <w:r>
        <w:t xml:space="preserve">The Governance Lead, detailed on the website, has the power to convene </w:t>
      </w:r>
      <w:r w:rsidR="003F7AB6">
        <w:t xml:space="preserve">the specific membership of the </w:t>
      </w:r>
      <w:r>
        <w:t>governance committee as and when required.  The committee can choose to set-up groups and committees as required, subject to committee agreement.</w:t>
      </w:r>
      <w:r w:rsidRPr="00C950E8">
        <w:rPr>
          <w:rFonts w:cstheme="minorHAnsi"/>
        </w:rPr>
        <w:br/>
      </w:r>
    </w:p>
    <w:p w14:paraId="5FC5DA5E" w14:textId="77777777" w:rsidR="00D8498F" w:rsidRPr="004624E3" w:rsidRDefault="00D8498F" w:rsidP="00983AE5">
      <w:pPr>
        <w:pStyle w:val="Heading3"/>
        <w:rPr>
          <w:i/>
          <w:iCs/>
        </w:rPr>
      </w:pPr>
      <w:r w:rsidRPr="004624E3">
        <w:t>Finance Matters</w:t>
      </w:r>
    </w:p>
    <w:p w14:paraId="44573CD0" w14:textId="77777777" w:rsidR="00D8498F" w:rsidRDefault="00D8498F" w:rsidP="005E370A">
      <w:pPr>
        <w:pStyle w:val="Title"/>
        <w:jc w:val="both"/>
        <w:rPr>
          <w:rFonts w:ascii="Arial" w:hAnsi="Arial" w:cs="Arial"/>
          <w:b w:val="0"/>
          <w:bCs w:val="0"/>
          <w:i/>
          <w:iCs/>
          <w:sz w:val="22"/>
          <w:u w:val="single"/>
        </w:rPr>
      </w:pPr>
    </w:p>
    <w:p w14:paraId="61C4CA48" w14:textId="55AF524A" w:rsidR="00D8498F" w:rsidRPr="00103F8C" w:rsidRDefault="00D8498F" w:rsidP="005E370A">
      <w:pPr>
        <w:jc w:val="both"/>
      </w:pPr>
      <w:r w:rsidRPr="00103F8C">
        <w:t xml:space="preserve">Community Pharmacy Lincolnshire’s finances remained sound throughout </w:t>
      </w:r>
      <w:r w:rsidR="00A24A74" w:rsidRPr="00103F8C">
        <w:t>202</w:t>
      </w:r>
      <w:r w:rsidR="0025304B">
        <w:t>4</w:t>
      </w:r>
      <w:r w:rsidR="00A24A74" w:rsidRPr="00103F8C">
        <w:t>/2</w:t>
      </w:r>
      <w:r w:rsidR="0025304B">
        <w:t>5</w:t>
      </w:r>
      <w:r w:rsidRPr="00103F8C">
        <w:t xml:space="preserve">, as reflected in the Treasurer’s report. Financial planning aims to maintain a suitable working capital balance and retain an appropriate reserve balance in alignment with strategic plans to enhance the profile of community pharmacy in Lincolnshire. The annual levy for </w:t>
      </w:r>
      <w:r w:rsidR="00A24A74" w:rsidRPr="00103F8C">
        <w:t>202</w:t>
      </w:r>
      <w:r w:rsidR="0025304B">
        <w:t>4</w:t>
      </w:r>
      <w:r w:rsidR="00A24A74" w:rsidRPr="00103F8C">
        <w:t>/2</w:t>
      </w:r>
      <w:r w:rsidR="0025304B">
        <w:t>5</w:t>
      </w:r>
      <w:r w:rsidR="00A24A74" w:rsidRPr="00103F8C">
        <w:t xml:space="preserve"> remained</w:t>
      </w:r>
      <w:r w:rsidRPr="00103F8C">
        <w:t xml:space="preserve"> fixed at £130,000. </w:t>
      </w:r>
    </w:p>
    <w:p w14:paraId="04C44678" w14:textId="713CF8B0" w:rsidR="00635298" w:rsidRPr="00635298" w:rsidRDefault="00D8498F" w:rsidP="005E370A">
      <w:pPr>
        <w:jc w:val="both"/>
      </w:pPr>
      <w:r w:rsidRPr="00635298">
        <w:t>A zero-base</w:t>
      </w:r>
      <w:r w:rsidR="00EC69A4" w:rsidRPr="00635298">
        <w:t>d</w:t>
      </w:r>
      <w:r w:rsidRPr="00635298">
        <w:t xml:space="preserve"> budget was produced for 202</w:t>
      </w:r>
      <w:r w:rsidR="0068259B" w:rsidRPr="00635298">
        <w:t>4</w:t>
      </w:r>
      <w:r w:rsidRPr="00635298">
        <w:t>/2</w:t>
      </w:r>
      <w:r w:rsidR="0068259B" w:rsidRPr="00635298">
        <w:t xml:space="preserve">5 </w:t>
      </w:r>
      <w:r w:rsidRPr="00635298">
        <w:t>to reflect costs for the next financial year</w:t>
      </w:r>
      <w:r w:rsidR="00EC69A4" w:rsidRPr="00635298">
        <w:t>. This was</w:t>
      </w:r>
      <w:r w:rsidRPr="00635298">
        <w:t xml:space="preserve"> presented at the </w:t>
      </w:r>
      <w:r w:rsidR="00721492">
        <w:t>March 2024</w:t>
      </w:r>
      <w:r w:rsidRPr="00635298">
        <w:t xml:space="preserve"> Committee meeting, providing a balanced forecast budget and reserve levels meeting</w:t>
      </w:r>
      <w:r w:rsidR="00EC69A4" w:rsidRPr="00635298">
        <w:t>,</w:t>
      </w:r>
      <w:r w:rsidRPr="00635298">
        <w:t xml:space="preserve"> as a minimum</w:t>
      </w:r>
      <w:r w:rsidR="00EC69A4" w:rsidRPr="00635298">
        <w:t>,</w:t>
      </w:r>
      <w:r w:rsidRPr="00635298">
        <w:t xml:space="preserve"> the recommended parameters for LPCs</w:t>
      </w:r>
      <w:r w:rsidR="00721492">
        <w:t>.</w:t>
      </w:r>
      <w:r w:rsidR="007C7087" w:rsidRPr="00635298">
        <w:t xml:space="preserve"> </w:t>
      </w:r>
      <w:r w:rsidR="00635298" w:rsidRPr="00635298">
        <w:t xml:space="preserve">The levy </w:t>
      </w:r>
      <w:r w:rsidR="000B67E5">
        <w:t>was</w:t>
      </w:r>
      <w:r w:rsidR="00635298" w:rsidRPr="00635298">
        <w:t xml:space="preserve"> held at £130,000 for </w:t>
      </w:r>
      <w:r w:rsidR="000B67E5">
        <w:t xml:space="preserve">2024/25 and will be held at £130,0000 for </w:t>
      </w:r>
      <w:r w:rsidR="00635298" w:rsidRPr="00635298">
        <w:t xml:space="preserve">2025/26. </w:t>
      </w:r>
      <w:r w:rsidR="00DE0227">
        <w:rPr>
          <w:rFonts w:cstheme="minorHAnsi"/>
          <w:bCs/>
        </w:rPr>
        <w:t>Non</w:t>
      </w:r>
      <w:r w:rsidR="00721492" w:rsidRPr="00751C35">
        <w:rPr>
          <w:rFonts w:cstheme="minorHAnsi"/>
          <w:bCs/>
        </w:rPr>
        <w:t xml:space="preserve">-recurrent funding outside of the contractor levy was secured as detailed in the accounts to allow services development and other ICS integration support without using </w:t>
      </w:r>
      <w:r w:rsidR="00721492" w:rsidRPr="004A7DF4">
        <w:rPr>
          <w:rFonts w:cstheme="minorHAnsi"/>
          <w:bCs/>
        </w:rPr>
        <w:t>contractor funds.</w:t>
      </w:r>
      <w:r w:rsidR="0066635D" w:rsidRPr="004A7DF4">
        <w:rPr>
          <w:rFonts w:cstheme="minorHAnsi"/>
          <w:bCs/>
        </w:rPr>
        <w:t xml:space="preserve"> Please also refer to the </w:t>
      </w:r>
      <w:r w:rsidR="004A7DF4" w:rsidRPr="004A7DF4">
        <w:rPr>
          <w:rFonts w:cstheme="minorHAnsi"/>
          <w:bCs/>
        </w:rPr>
        <w:t>Treasurer’s supplementary report for 2024/25.</w:t>
      </w:r>
    </w:p>
    <w:p w14:paraId="3CE95430" w14:textId="450C88CC" w:rsidR="00234776" w:rsidRDefault="00D8498F" w:rsidP="005E370A">
      <w:pPr>
        <w:jc w:val="both"/>
        <w:rPr>
          <w:rFonts w:cstheme="minorHAnsi"/>
          <w:bCs/>
        </w:rPr>
      </w:pPr>
      <w:r w:rsidRPr="00C33896">
        <w:rPr>
          <w:rFonts w:cstheme="minorHAnsi"/>
          <w:bCs/>
        </w:rPr>
        <w:t xml:space="preserve">The annual accounts can be viewed on the website </w:t>
      </w:r>
      <w:r w:rsidR="00C6289F" w:rsidRPr="00C33896">
        <w:rPr>
          <w:rFonts w:cstheme="minorHAnsi"/>
          <w:bCs/>
        </w:rPr>
        <w:t>from the end of August 202</w:t>
      </w:r>
      <w:r w:rsidR="00276CBA">
        <w:rPr>
          <w:rFonts w:cstheme="minorHAnsi"/>
          <w:bCs/>
        </w:rPr>
        <w:t>5</w:t>
      </w:r>
      <w:r w:rsidR="00C6289F" w:rsidRPr="00C33896">
        <w:rPr>
          <w:rFonts w:cstheme="minorHAnsi"/>
          <w:bCs/>
        </w:rPr>
        <w:t xml:space="preserve"> </w:t>
      </w:r>
      <w:r w:rsidRPr="00C33896">
        <w:rPr>
          <w:rFonts w:cstheme="minorHAnsi"/>
          <w:bCs/>
        </w:rPr>
        <w:t xml:space="preserve">under </w:t>
      </w:r>
      <w:hyperlink r:id="rId13" w:history="1">
        <w:r w:rsidRPr="00C33896">
          <w:rPr>
            <w:rStyle w:val="Hyperlink"/>
            <w:rFonts w:cstheme="minorHAnsi"/>
            <w:bCs/>
          </w:rPr>
          <w:t>Community Pharmacy Lincolnshire Finance</w:t>
        </w:r>
      </w:hyperlink>
      <w:r w:rsidRPr="0038352C">
        <w:rPr>
          <w:rFonts w:cstheme="minorHAnsi"/>
          <w:bCs/>
        </w:rPr>
        <w:t>.</w:t>
      </w:r>
      <w:r w:rsidR="00050EDD">
        <w:rPr>
          <w:rFonts w:cstheme="minorHAnsi"/>
          <w:bCs/>
        </w:rPr>
        <w:t xml:space="preserve">  </w:t>
      </w:r>
    </w:p>
    <w:p w14:paraId="35DF52FF" w14:textId="77777777" w:rsidR="00831100" w:rsidRDefault="00831100" w:rsidP="005E370A">
      <w:pPr>
        <w:jc w:val="both"/>
        <w:rPr>
          <w:rFonts w:cstheme="minorHAnsi"/>
          <w:bCs/>
        </w:rPr>
      </w:pPr>
    </w:p>
    <w:p w14:paraId="74A9DACD" w14:textId="66F497FF" w:rsidR="00D8498F" w:rsidRPr="00D11D1C" w:rsidRDefault="00347E31" w:rsidP="00983AE5">
      <w:pPr>
        <w:pStyle w:val="Heading3"/>
      </w:pPr>
      <w:r w:rsidRPr="00A11419">
        <w:t>Chair Appraisal</w:t>
      </w:r>
    </w:p>
    <w:p w14:paraId="7FA486D6" w14:textId="2BAF49AF" w:rsidR="00D8498F" w:rsidRDefault="002F5B77" w:rsidP="005E370A">
      <w:pPr>
        <w:jc w:val="both"/>
        <w:rPr>
          <w:rFonts w:cstheme="minorHAnsi"/>
          <w:bCs/>
        </w:rPr>
      </w:pPr>
      <w:r w:rsidRPr="00D11D1C">
        <w:rPr>
          <w:rFonts w:cstheme="minorHAnsi"/>
          <w:bCs/>
        </w:rPr>
        <w:t xml:space="preserve">As part of the committee governance, the Chair met with the Governance Lead for an annual appraisal in </w:t>
      </w:r>
      <w:r w:rsidR="00194FD8" w:rsidRPr="00D11D1C">
        <w:rPr>
          <w:rFonts w:cstheme="minorHAnsi"/>
          <w:bCs/>
        </w:rPr>
        <w:t>January 2025</w:t>
      </w:r>
      <w:r w:rsidR="005B121D" w:rsidRPr="00D11D1C">
        <w:rPr>
          <w:rFonts w:cstheme="minorHAnsi"/>
          <w:bCs/>
        </w:rPr>
        <w:t>.</w:t>
      </w:r>
    </w:p>
    <w:p w14:paraId="0B88D28F" w14:textId="77777777" w:rsidR="00592772" w:rsidRPr="00657346" w:rsidRDefault="00592772" w:rsidP="005E370A">
      <w:pPr>
        <w:jc w:val="both"/>
        <w:rPr>
          <w:rFonts w:cstheme="minorHAnsi"/>
          <w:color w:val="444444"/>
        </w:rPr>
      </w:pPr>
    </w:p>
    <w:p w14:paraId="5162D8FE" w14:textId="023BFCDE" w:rsidR="00D8498F" w:rsidRDefault="00D8498F" w:rsidP="00983AE5">
      <w:pPr>
        <w:pStyle w:val="Heading3"/>
      </w:pPr>
      <w:r w:rsidRPr="004624E3">
        <w:lastRenderedPageBreak/>
        <w:t>Health System Engagement</w:t>
      </w:r>
    </w:p>
    <w:p w14:paraId="582B6316" w14:textId="77777777" w:rsidR="00D8498F" w:rsidRDefault="00D8498F" w:rsidP="005E370A">
      <w:pPr>
        <w:jc w:val="both"/>
      </w:pPr>
      <w:r>
        <w:t xml:space="preserve">The LPC continued to employ flexible ways of working across the healthcare system, to further strengthen the voice of community pharmacy within the county and the wider Midlands region. </w:t>
      </w:r>
    </w:p>
    <w:p w14:paraId="13852287" w14:textId="0482E0D8" w:rsidR="00D8498F" w:rsidRDefault="00D8498F" w:rsidP="005E370A">
      <w:pPr>
        <w:jc w:val="both"/>
      </w:pPr>
      <w:r>
        <w:t>The Midlands M</w:t>
      </w:r>
      <w:r w:rsidRPr="00810D0E">
        <w:t xml:space="preserve">edicines and </w:t>
      </w:r>
      <w:r>
        <w:t>P</w:t>
      </w:r>
      <w:r w:rsidRPr="00810D0E">
        <w:t xml:space="preserve">harmacy </w:t>
      </w:r>
      <w:r>
        <w:t>C</w:t>
      </w:r>
      <w:r w:rsidRPr="00810D0E">
        <w:t>o</w:t>
      </w:r>
      <w:r w:rsidR="00F57C91">
        <w:t>mmunication</w:t>
      </w:r>
      <w:r w:rsidRPr="00810D0E">
        <w:t xml:space="preserve"> </w:t>
      </w:r>
      <w:r>
        <w:t>G</w:t>
      </w:r>
      <w:r w:rsidRPr="00810D0E">
        <w:t xml:space="preserve">roup </w:t>
      </w:r>
      <w:r>
        <w:t>(</w:t>
      </w:r>
      <w:proofErr w:type="spellStart"/>
      <w:r>
        <w:t>MaPCOG</w:t>
      </w:r>
      <w:proofErr w:type="spellEnd"/>
      <w:r>
        <w:t>) formed in 2021</w:t>
      </w:r>
      <w:r w:rsidR="007A128F">
        <w:t>,</w:t>
      </w:r>
      <w:r>
        <w:t xml:space="preserve"> with LPCs and the NHSE&amp;I Midlands teams (East and West) meet</w:t>
      </w:r>
      <w:r w:rsidR="004624E3">
        <w:t>ing</w:t>
      </w:r>
      <w:r>
        <w:t xml:space="preserve"> </w:t>
      </w:r>
      <w:r w:rsidR="004624E3">
        <w:t>fortnightly</w:t>
      </w:r>
      <w:r w:rsidR="00FE7E28">
        <w:t xml:space="preserve"> </w:t>
      </w:r>
      <w:r>
        <w:t xml:space="preserve">to discuss policy changes, issues, and plan solutions to increase resilience and address some of the challenges being faced by pharmacies during the pandemic. These meetings continue to be an opportunity for liaison with colleagues from the NHSE&amp;I teams and to share insights across the Midlands LPCs. Within Lincolnshire, we continue to attend the ICS Pharmacy and Prescribing meetings, enabling us to take a similar approach at a more local level, allowing us to work with Lincolnshire ICS and provide clarity on pharmacy issues. </w:t>
      </w:r>
    </w:p>
    <w:p w14:paraId="758A5F38" w14:textId="5D0DC0DC" w:rsidR="00D8498F" w:rsidRDefault="00D8498F" w:rsidP="005E370A">
      <w:pPr>
        <w:jc w:val="both"/>
      </w:pPr>
      <w:r w:rsidRPr="00202699">
        <w:t>Regular attendance</w:t>
      </w:r>
      <w:r>
        <w:t xml:space="preserve"> at meetings</w:t>
      </w:r>
      <w:r w:rsidRPr="00202699">
        <w:t xml:space="preserve">, advice and input has continued to develop </w:t>
      </w:r>
      <w:r>
        <w:t>the</w:t>
      </w:r>
      <w:r w:rsidRPr="00202699">
        <w:t xml:space="preserve"> position</w:t>
      </w:r>
      <w:r>
        <w:t xml:space="preserve"> of community pharmacy</w:t>
      </w:r>
      <w:r w:rsidRPr="00202699">
        <w:t xml:space="preserve"> within the ICS. </w:t>
      </w:r>
      <w:r>
        <w:t>We have continued to highlight to the ICS that community pharmacies do not align fully to PCN locations in Lincolnshire, which can cause confusion for patients.  We are therefore engaged with the ICS to ensure that services are commissioned widely, ideally on a county basis but as a minimum based geographically on clusters of PCNs, to minimise patient confusion and potential health inequalities.</w:t>
      </w:r>
      <w:r w:rsidR="00F56D21">
        <w:t xml:space="preserve"> We also highlight potential risks when changes are considered to prescribing </w:t>
      </w:r>
      <w:r w:rsidR="0048173C">
        <w:t>programmes and other efficiency measures suggested within the system, to ensure stability of the community pharmacy network in the county.</w:t>
      </w:r>
    </w:p>
    <w:p w14:paraId="5873E0CD" w14:textId="4317AA53" w:rsidR="00D8498F" w:rsidRDefault="007A128F" w:rsidP="005E370A">
      <w:pPr>
        <w:jc w:val="both"/>
      </w:pPr>
      <w:r>
        <w:t>Community Pharmacy Lincolnshire’s footprint is coterminous with that of both</w:t>
      </w:r>
      <w:r w:rsidR="00D8498F" w:rsidRPr="0049766E">
        <w:t xml:space="preserve"> Lincolnshire ICS</w:t>
      </w:r>
      <w:r>
        <w:t xml:space="preserve"> and the Health and Wellbeing board. This has facilitated greater </w:t>
      </w:r>
      <w:r w:rsidR="00D8498F" w:rsidRPr="0049766E">
        <w:t xml:space="preserve">inclusion of pharmacy’s voice in the development of integrated working across the system. The Lincolnshire ICS </w:t>
      </w:r>
      <w:r w:rsidR="00FE7E28">
        <w:t>took on</w:t>
      </w:r>
      <w:r w:rsidR="00FE7E28" w:rsidRPr="0049766E">
        <w:t xml:space="preserve"> </w:t>
      </w:r>
      <w:r w:rsidR="00D8498F" w:rsidRPr="0049766E">
        <w:t xml:space="preserve">delegated responsibility for commissioning of Pharmacy, Optometry and Dental Services in 2023/24. Over the year we have </w:t>
      </w:r>
      <w:r w:rsidR="00D8498F">
        <w:t>continued to work</w:t>
      </w:r>
      <w:r w:rsidR="00D8498F" w:rsidRPr="0049766E">
        <w:t xml:space="preserve"> with representatives from the ‘Four Pillars of Primary Care’ being pharmacy, general practice, ophthalmology and dentistry</w:t>
      </w:r>
      <w:r w:rsidR="00F8789B">
        <w:t>,</w:t>
      </w:r>
      <w:r w:rsidR="00D8498F" w:rsidRPr="0049766E">
        <w:t xml:space="preserve"> to approach the ICS </w:t>
      </w:r>
      <w:r w:rsidR="00F8789B">
        <w:t>with</w:t>
      </w:r>
      <w:r w:rsidR="00F8789B" w:rsidRPr="0049766E">
        <w:t xml:space="preserve"> </w:t>
      </w:r>
      <w:r w:rsidR="00D8498F" w:rsidRPr="0049766E">
        <w:t>one voice, with the aim</w:t>
      </w:r>
      <w:r w:rsidR="00F8789B">
        <w:t>s</w:t>
      </w:r>
      <w:r w:rsidR="00D8498F" w:rsidRPr="0049766E">
        <w:t xml:space="preserve"> of strengthening</w:t>
      </w:r>
      <w:r w:rsidR="00751C35">
        <w:t xml:space="preserve"> representation for </w:t>
      </w:r>
      <w:r w:rsidR="00D8498F" w:rsidRPr="0049766E">
        <w:t>primary care within the ICS and rebalanc</w:t>
      </w:r>
      <w:r w:rsidR="00F8789B">
        <w:t xml:space="preserve">ing </w:t>
      </w:r>
      <w:r w:rsidR="00D8498F" w:rsidRPr="0049766E">
        <w:t xml:space="preserve">the </w:t>
      </w:r>
      <w:r w:rsidR="00F8789B">
        <w:t>weighted focus</w:t>
      </w:r>
      <w:r w:rsidR="00D8498F" w:rsidRPr="0049766E">
        <w:t xml:space="preserve"> on secondary care within the county. </w:t>
      </w:r>
    </w:p>
    <w:p w14:paraId="7084033E" w14:textId="77777777" w:rsidR="00D8498F" w:rsidRPr="00014747" w:rsidRDefault="00D8498F" w:rsidP="005E370A">
      <w:pPr>
        <w:jc w:val="both"/>
      </w:pPr>
      <w:r>
        <w:lastRenderedPageBreak/>
        <w:t xml:space="preserve">CPL has representation at strategic level within the ICS Care and Clinical Directorate, with the Chair having a seat on the Care and Clinical Directorate Strategic Board, who </w:t>
      </w:r>
      <w:r w:rsidRPr="00C6657D">
        <w:t xml:space="preserve">meet </w:t>
      </w:r>
      <w:r w:rsidRPr="006B1B20">
        <w:t xml:space="preserve">monthly </w:t>
      </w:r>
      <w:r>
        <w:t>and being the vice chair of the Primary Care Advisory Group, which feeds into the ICS Board via the Primary Care Board member who Chairs the PCAG meetings. It also feeds into the Primary Care Commissioning Committee.  PCAG provides an expert clinical voice across all four pillars of primary care, ensuring appropriate decisions are made in areas including primary care service commissioning and pathway redesign for patients.</w:t>
      </w:r>
    </w:p>
    <w:p w14:paraId="137D5B82" w14:textId="5A6447FB" w:rsidR="00D8498F" w:rsidRDefault="00D8498F" w:rsidP="005E370A">
      <w:pPr>
        <w:jc w:val="both"/>
      </w:pPr>
      <w:r>
        <w:t xml:space="preserve">Representation for CPL has been </w:t>
      </w:r>
      <w:r w:rsidR="000E475F">
        <w:t xml:space="preserve">maintained </w:t>
      </w:r>
      <w:r>
        <w:t xml:space="preserve">on </w:t>
      </w:r>
      <w:r w:rsidR="003309AD">
        <w:t>several</w:t>
      </w:r>
      <w:r>
        <w:t xml:space="preserve"> working groups including the</w:t>
      </w:r>
      <w:r w:rsidR="00F47264">
        <w:t xml:space="preserve"> Primary Care Commissioning Committee,</w:t>
      </w:r>
      <w:r>
        <w:t xml:space="preserve"> Primary Care </w:t>
      </w:r>
      <w:r w:rsidR="00F47264">
        <w:t>and Communities</w:t>
      </w:r>
      <w:r>
        <w:t xml:space="preserve"> Group and the ICS Integrated</w:t>
      </w:r>
      <w:r w:rsidR="003309AD">
        <w:t xml:space="preserve"> Pharmacy and</w:t>
      </w:r>
      <w:r>
        <w:t xml:space="preserve"> Medicines Optimisation (IPMO) groups. </w:t>
      </w:r>
      <w:r w:rsidR="005862F9">
        <w:t>Additionally, CPL has representation on the Primary Care People Group moving forwards.</w:t>
      </w:r>
    </w:p>
    <w:p w14:paraId="4B2C58FA" w14:textId="77777777" w:rsidR="00D8498F" w:rsidRDefault="00D8498F" w:rsidP="005E370A">
      <w:pPr>
        <w:jc w:val="both"/>
      </w:pPr>
      <w:r>
        <w:t xml:space="preserve">Working with the other pillars of primary care, Community Pharmacy Lincolnshire continues to meet quarterly as a group with ICS representatives and LMC Representatives, </w:t>
      </w:r>
      <w:r w:rsidRPr="003E0EB4">
        <w:t xml:space="preserve">allowing us to further strengthen relationships and support </w:t>
      </w:r>
      <w:r>
        <w:t xml:space="preserve">the development and </w:t>
      </w:r>
      <w:r w:rsidRPr="003E0EB4">
        <w:t xml:space="preserve">roll-out of services.  </w:t>
      </w:r>
    </w:p>
    <w:p w14:paraId="5A1D19FF" w14:textId="109F4B01" w:rsidR="00D8498F" w:rsidRPr="00E362A7" w:rsidRDefault="00D8498F" w:rsidP="005E370A">
      <w:pPr>
        <w:spacing w:after="0"/>
        <w:jc w:val="both"/>
        <w:rPr>
          <w:b/>
          <w:bCs/>
        </w:rPr>
      </w:pPr>
      <w:r w:rsidRPr="00B75DE0">
        <w:t xml:space="preserve">In summary, </w:t>
      </w:r>
      <w:r w:rsidR="004C2AC7" w:rsidRPr="00B75DE0">
        <w:t>m</w:t>
      </w:r>
      <w:r w:rsidRPr="00B75DE0">
        <w:t xml:space="preserve">embers, </w:t>
      </w:r>
      <w:r w:rsidR="004C2AC7" w:rsidRPr="00B75DE0">
        <w:t>o</w:t>
      </w:r>
      <w:r w:rsidRPr="00B75DE0">
        <w:t>fficers and employees of Community Pharmacy Lincolnshire continue to represent Lincolnshire community pharmacy contractors, with membership of and/or representation on the following bodies:</w:t>
      </w:r>
    </w:p>
    <w:p w14:paraId="297B34D6" w14:textId="052BD48B" w:rsidR="00D8498F" w:rsidRPr="00010AEE" w:rsidRDefault="00D8498F" w:rsidP="00D8498F">
      <w:pPr>
        <w:pStyle w:val="ListParagraph"/>
        <w:numPr>
          <w:ilvl w:val="0"/>
          <w:numId w:val="12"/>
        </w:numPr>
        <w:spacing w:after="0" w:line="240" w:lineRule="auto"/>
        <w:rPr>
          <w:rFonts w:ascii="DM Sans" w:hAnsi="DM Sans"/>
          <w:b/>
          <w:color w:val="0072CE" w:themeColor="text1"/>
          <w:sz w:val="22"/>
          <w:szCs w:val="22"/>
        </w:rPr>
      </w:pPr>
      <w:r w:rsidRPr="00010AEE">
        <w:rPr>
          <w:rFonts w:ascii="DM Sans" w:hAnsi="DM Sans"/>
          <w:color w:val="0072CE" w:themeColor="text1"/>
          <w:sz w:val="22"/>
          <w:szCs w:val="22"/>
        </w:rPr>
        <w:t xml:space="preserve">Midlands Medicines and Pharmacy </w:t>
      </w:r>
      <w:r w:rsidR="00F57C91">
        <w:rPr>
          <w:rFonts w:ascii="DM Sans" w:hAnsi="DM Sans"/>
          <w:color w:val="0072CE" w:themeColor="text1"/>
          <w:sz w:val="22"/>
          <w:szCs w:val="22"/>
        </w:rPr>
        <w:t>Communication</w:t>
      </w:r>
      <w:r w:rsidRPr="00010AEE">
        <w:rPr>
          <w:rFonts w:ascii="DM Sans" w:hAnsi="DM Sans"/>
          <w:color w:val="0072CE" w:themeColor="text1"/>
          <w:sz w:val="22"/>
          <w:szCs w:val="22"/>
        </w:rPr>
        <w:t xml:space="preserve"> Group (</w:t>
      </w:r>
      <w:proofErr w:type="spellStart"/>
      <w:r w:rsidRPr="00010AEE">
        <w:rPr>
          <w:rFonts w:ascii="DM Sans" w:hAnsi="DM Sans"/>
          <w:color w:val="0072CE" w:themeColor="text1"/>
          <w:sz w:val="22"/>
          <w:szCs w:val="22"/>
        </w:rPr>
        <w:t>MaPCOG</w:t>
      </w:r>
      <w:proofErr w:type="spellEnd"/>
      <w:r w:rsidRPr="00010AEE">
        <w:rPr>
          <w:rFonts w:ascii="DM Sans" w:hAnsi="DM Sans"/>
          <w:color w:val="0072CE" w:themeColor="text1"/>
          <w:sz w:val="22"/>
          <w:szCs w:val="22"/>
        </w:rPr>
        <w:t>)</w:t>
      </w:r>
    </w:p>
    <w:p w14:paraId="76A6D07A" w14:textId="2B5C12A6"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 xml:space="preserve">Lincolnshire Pharmacy and Prescribing </w:t>
      </w:r>
      <w:r w:rsidR="00766B21">
        <w:rPr>
          <w:rFonts w:ascii="DM Sans" w:hAnsi="DM Sans"/>
          <w:color w:val="0072CE" w:themeColor="text1"/>
          <w:sz w:val="22"/>
          <w:szCs w:val="22"/>
        </w:rPr>
        <w:t>Provider Group</w:t>
      </w:r>
    </w:p>
    <w:p w14:paraId="7898D73F"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Prescribing and Clinical Effectiveness Forum (PACEF)</w:t>
      </w:r>
    </w:p>
    <w:p w14:paraId="1A8680B4"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East Midlands Clinical Senate Council (representing East Midlands LPCs)</w:t>
      </w:r>
    </w:p>
    <w:p w14:paraId="350433C3" w14:textId="3B4D285C" w:rsidR="00D8498F" w:rsidRPr="00010AEE" w:rsidRDefault="00F81089" w:rsidP="00D8498F">
      <w:pPr>
        <w:pStyle w:val="ListParagraph"/>
        <w:numPr>
          <w:ilvl w:val="0"/>
          <w:numId w:val="12"/>
        </w:numPr>
        <w:spacing w:after="0" w:line="240" w:lineRule="auto"/>
        <w:rPr>
          <w:rFonts w:ascii="DM Sans" w:hAnsi="DM Sans"/>
          <w:b/>
          <w:bCs/>
          <w:color w:val="0072CE" w:themeColor="text1"/>
          <w:sz w:val="22"/>
          <w:szCs w:val="22"/>
        </w:rPr>
      </w:pPr>
      <w:r>
        <w:rPr>
          <w:rFonts w:ascii="DM Sans" w:hAnsi="DM Sans"/>
          <w:color w:val="0072CE" w:themeColor="text1"/>
          <w:sz w:val="22"/>
          <w:szCs w:val="22"/>
        </w:rPr>
        <w:t>CPE</w:t>
      </w:r>
      <w:r w:rsidRPr="00010AEE">
        <w:rPr>
          <w:rFonts w:ascii="DM Sans" w:hAnsi="DM Sans"/>
          <w:color w:val="0072CE" w:themeColor="text1"/>
          <w:sz w:val="22"/>
          <w:szCs w:val="22"/>
        </w:rPr>
        <w:t xml:space="preserve"> </w:t>
      </w:r>
      <w:r w:rsidR="00D8498F" w:rsidRPr="00010AEE">
        <w:rPr>
          <w:rFonts w:ascii="DM Sans" w:hAnsi="DM Sans"/>
          <w:color w:val="0072CE" w:themeColor="text1"/>
          <w:sz w:val="22"/>
          <w:szCs w:val="22"/>
        </w:rPr>
        <w:t>Rural Working Group (national)</w:t>
      </w:r>
    </w:p>
    <w:p w14:paraId="7D42866B"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Pharmacy Competency Group (national)</w:t>
      </w:r>
    </w:p>
    <w:p w14:paraId="7C2BBB1E"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Prescribing System Improvement Programme (SIP) Steering Group</w:t>
      </w:r>
    </w:p>
    <w:p w14:paraId="34B65EAB"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Antimicrobial Stewardship Group</w:t>
      </w:r>
    </w:p>
    <w:p w14:paraId="535A87D5"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Controlled Drugs Local Intelligence Network (CD LIN)</w:t>
      </w:r>
    </w:p>
    <w:p w14:paraId="220D923B" w14:textId="20FDAA12"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 xml:space="preserve">Lincolnshire Health &amp;Wellbeing Board Pharmaceutical Needs Assessment (PNA) </w:t>
      </w:r>
      <w:r w:rsidR="00F57C91">
        <w:rPr>
          <w:rFonts w:ascii="DM Sans" w:hAnsi="DM Sans"/>
          <w:color w:val="0072CE" w:themeColor="text1"/>
          <w:sz w:val="22"/>
          <w:szCs w:val="22"/>
        </w:rPr>
        <w:t>Steering  Group</w:t>
      </w:r>
    </w:p>
    <w:p w14:paraId="7DAFAA1C"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NHS Integrating Pharmacy and Medicines Optimisation (IPMO) steering and working groups</w:t>
      </w:r>
    </w:p>
    <w:p w14:paraId="571DFBB7"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System Improvement Programme Clinical Working Groups</w:t>
      </w:r>
    </w:p>
    <w:p w14:paraId="344E8BF3" w14:textId="472F9E2B" w:rsidR="00D8498F" w:rsidRPr="009953EB"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 xml:space="preserve">ICB Primary Care </w:t>
      </w:r>
      <w:r w:rsidR="004A7DF4">
        <w:rPr>
          <w:rFonts w:ascii="DM Sans" w:hAnsi="DM Sans"/>
          <w:color w:val="0072CE" w:themeColor="text1"/>
          <w:sz w:val="22"/>
          <w:szCs w:val="22"/>
        </w:rPr>
        <w:t>Access Working Group</w:t>
      </w:r>
    </w:p>
    <w:p w14:paraId="32F4B743" w14:textId="7D4F794D" w:rsidR="004A7DF4" w:rsidRPr="00010AEE" w:rsidRDefault="004A7DF4" w:rsidP="00D8498F">
      <w:pPr>
        <w:pStyle w:val="ListParagraph"/>
        <w:numPr>
          <w:ilvl w:val="0"/>
          <w:numId w:val="12"/>
        </w:numPr>
        <w:spacing w:after="0" w:line="240" w:lineRule="auto"/>
        <w:rPr>
          <w:rFonts w:ascii="DM Sans" w:hAnsi="DM Sans"/>
          <w:b/>
          <w:bCs/>
          <w:color w:val="0072CE" w:themeColor="text1"/>
          <w:sz w:val="22"/>
          <w:szCs w:val="22"/>
        </w:rPr>
      </w:pPr>
      <w:r>
        <w:rPr>
          <w:rFonts w:ascii="DM Sans" w:hAnsi="DM Sans"/>
          <w:color w:val="0072CE" w:themeColor="text1"/>
          <w:sz w:val="22"/>
          <w:szCs w:val="22"/>
        </w:rPr>
        <w:lastRenderedPageBreak/>
        <w:t>ICB Primary Care Commissioning Committee</w:t>
      </w:r>
    </w:p>
    <w:p w14:paraId="445BB568"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ICB Four Pillars of Primary Care Quarterly Group</w:t>
      </w:r>
    </w:p>
    <w:p w14:paraId="0D4B1F3E" w14:textId="77777777" w:rsidR="00D8498F" w:rsidRPr="00010AEE" w:rsidRDefault="00D8498F" w:rsidP="00D8498F">
      <w:pPr>
        <w:pStyle w:val="ListParagraph"/>
        <w:numPr>
          <w:ilvl w:val="0"/>
          <w:numId w:val="12"/>
        </w:numPr>
        <w:spacing w:after="0" w:line="240" w:lineRule="auto"/>
        <w:ind w:left="714" w:hanging="357"/>
        <w:rPr>
          <w:rFonts w:ascii="DM Sans" w:hAnsi="DM Sans"/>
          <w:b/>
          <w:bCs/>
          <w:color w:val="0072CE" w:themeColor="text1"/>
          <w:sz w:val="22"/>
          <w:szCs w:val="22"/>
        </w:rPr>
      </w:pPr>
      <w:r w:rsidRPr="00010AEE">
        <w:rPr>
          <w:rFonts w:ascii="DM Sans" w:hAnsi="DM Sans"/>
          <w:color w:val="0072CE" w:themeColor="text1"/>
          <w:sz w:val="22"/>
          <w:szCs w:val="22"/>
        </w:rPr>
        <w:t>Tobacco Dependency Steering Group</w:t>
      </w:r>
    </w:p>
    <w:p w14:paraId="15FA3371" w14:textId="77777777" w:rsidR="00D8498F" w:rsidRPr="00010AEE" w:rsidRDefault="00D8498F" w:rsidP="00D8498F">
      <w:pPr>
        <w:pStyle w:val="ListParagraph"/>
        <w:numPr>
          <w:ilvl w:val="0"/>
          <w:numId w:val="12"/>
        </w:numPr>
        <w:spacing w:after="0" w:line="240" w:lineRule="auto"/>
        <w:ind w:left="714" w:hanging="357"/>
        <w:rPr>
          <w:rFonts w:ascii="DM Sans" w:hAnsi="DM Sans"/>
          <w:b/>
          <w:bCs/>
          <w:color w:val="0072CE" w:themeColor="text1"/>
          <w:sz w:val="22"/>
          <w:szCs w:val="22"/>
        </w:rPr>
      </w:pPr>
      <w:r w:rsidRPr="00010AEE">
        <w:rPr>
          <w:rFonts w:ascii="DM Sans" w:hAnsi="DM Sans"/>
          <w:color w:val="0072CE" w:themeColor="text1"/>
          <w:sz w:val="22"/>
          <w:szCs w:val="22"/>
        </w:rPr>
        <w:t>ICB Clinical and Care Directorate Strategic Board</w:t>
      </w:r>
    </w:p>
    <w:p w14:paraId="3A942615" w14:textId="424B70E7" w:rsidR="00D8498F" w:rsidRPr="00010AEE" w:rsidRDefault="00D8498F" w:rsidP="00D8498F">
      <w:pPr>
        <w:pStyle w:val="ListParagraph"/>
        <w:numPr>
          <w:ilvl w:val="0"/>
          <w:numId w:val="12"/>
        </w:numPr>
        <w:spacing w:after="0" w:line="240" w:lineRule="auto"/>
        <w:ind w:left="714" w:hanging="357"/>
        <w:rPr>
          <w:rFonts w:ascii="DM Sans" w:hAnsi="DM Sans"/>
          <w:b/>
          <w:bCs/>
          <w:i/>
          <w:iCs/>
          <w:color w:val="0072CE" w:themeColor="text1"/>
          <w:sz w:val="22"/>
          <w:szCs w:val="22"/>
        </w:rPr>
      </w:pPr>
      <w:r w:rsidRPr="00010AEE">
        <w:rPr>
          <w:rFonts w:ascii="DM Sans" w:hAnsi="DM Sans"/>
          <w:color w:val="0072CE" w:themeColor="text1"/>
          <w:sz w:val="22"/>
          <w:szCs w:val="22"/>
        </w:rPr>
        <w:t>ICB Primary Care Advisory Group (within</w:t>
      </w:r>
      <w:r w:rsidR="00282344">
        <w:rPr>
          <w:rFonts w:ascii="DM Sans" w:hAnsi="DM Sans"/>
          <w:color w:val="0072CE" w:themeColor="text1"/>
          <w:sz w:val="22"/>
          <w:szCs w:val="22"/>
        </w:rPr>
        <w:t xml:space="preserve"> the</w:t>
      </w:r>
      <w:r w:rsidRPr="00010AEE">
        <w:rPr>
          <w:rFonts w:ascii="DM Sans" w:hAnsi="DM Sans"/>
          <w:color w:val="0072CE" w:themeColor="text1"/>
          <w:sz w:val="22"/>
          <w:szCs w:val="22"/>
        </w:rPr>
        <w:t xml:space="preserve"> Clinical and Care Directorate)</w:t>
      </w:r>
    </w:p>
    <w:p w14:paraId="6085B7AA" w14:textId="77777777" w:rsidR="00D8498F" w:rsidRPr="00010AEE" w:rsidRDefault="00D8498F" w:rsidP="00D8498F">
      <w:pPr>
        <w:pStyle w:val="ListParagraph"/>
        <w:numPr>
          <w:ilvl w:val="0"/>
          <w:numId w:val="12"/>
        </w:numPr>
        <w:spacing w:after="0" w:line="240" w:lineRule="auto"/>
        <w:ind w:left="714" w:hanging="357"/>
        <w:rPr>
          <w:rFonts w:ascii="DM Sans" w:hAnsi="DM Sans"/>
          <w:b/>
          <w:bCs/>
          <w:i/>
          <w:iCs/>
          <w:color w:val="0072CE" w:themeColor="text1"/>
          <w:sz w:val="22"/>
          <w:szCs w:val="22"/>
        </w:rPr>
      </w:pPr>
      <w:r w:rsidRPr="00010AEE">
        <w:rPr>
          <w:rFonts w:ascii="DM Sans" w:hAnsi="DM Sans"/>
          <w:color w:val="0072CE" w:themeColor="text1"/>
          <w:sz w:val="22"/>
          <w:szCs w:val="22"/>
        </w:rPr>
        <w:t>Lincolnshire Palliative and End of Life Care Operational Group</w:t>
      </w:r>
    </w:p>
    <w:p w14:paraId="04E3CBE7" w14:textId="77777777" w:rsidR="00D8498F" w:rsidRPr="00010AEE" w:rsidRDefault="00D8498F" w:rsidP="00D8498F">
      <w:pPr>
        <w:pStyle w:val="ListParagraph"/>
        <w:numPr>
          <w:ilvl w:val="0"/>
          <w:numId w:val="12"/>
        </w:numPr>
        <w:spacing w:after="0" w:line="240" w:lineRule="auto"/>
        <w:ind w:left="714" w:hanging="357"/>
        <w:rPr>
          <w:rFonts w:ascii="DM Sans" w:hAnsi="DM Sans"/>
          <w:b/>
          <w:bCs/>
          <w:i/>
          <w:iCs/>
          <w:color w:val="0072CE" w:themeColor="text1"/>
          <w:sz w:val="22"/>
          <w:szCs w:val="22"/>
        </w:rPr>
      </w:pPr>
      <w:r w:rsidRPr="00010AEE">
        <w:rPr>
          <w:rFonts w:ascii="DM Sans" w:hAnsi="DM Sans"/>
          <w:color w:val="0072CE" w:themeColor="text1"/>
          <w:sz w:val="22"/>
          <w:szCs w:val="22"/>
        </w:rPr>
        <w:t>Lincolnshire Pharmacy Faculty</w:t>
      </w:r>
    </w:p>
    <w:p w14:paraId="321219E9" w14:textId="77777777" w:rsidR="00D8498F" w:rsidRPr="00010AEE" w:rsidRDefault="00D8498F" w:rsidP="00D8498F">
      <w:pPr>
        <w:pStyle w:val="ListParagraph"/>
        <w:numPr>
          <w:ilvl w:val="0"/>
          <w:numId w:val="12"/>
        </w:numPr>
        <w:spacing w:after="0" w:line="240" w:lineRule="auto"/>
        <w:ind w:left="714" w:hanging="357"/>
        <w:rPr>
          <w:rFonts w:ascii="DM Sans" w:hAnsi="DM Sans"/>
          <w:b/>
          <w:bCs/>
          <w:i/>
          <w:iCs/>
          <w:color w:val="0072CE" w:themeColor="text1"/>
          <w:sz w:val="22"/>
          <w:szCs w:val="22"/>
        </w:rPr>
      </w:pPr>
      <w:r w:rsidRPr="00010AEE">
        <w:rPr>
          <w:rFonts w:ascii="DM Sans" w:hAnsi="DM Sans"/>
          <w:color w:val="0072CE" w:themeColor="text1"/>
          <w:sz w:val="22"/>
          <w:szCs w:val="22"/>
        </w:rPr>
        <w:t>Lincolnshire Pharmacy Workforce Planning Group</w:t>
      </w:r>
    </w:p>
    <w:p w14:paraId="7B78D3F0" w14:textId="77777777" w:rsidR="00D8498F" w:rsidRPr="00010AEE" w:rsidRDefault="00D8498F" w:rsidP="00D8498F">
      <w:pPr>
        <w:pStyle w:val="ListParagraph"/>
        <w:numPr>
          <w:ilvl w:val="0"/>
          <w:numId w:val="12"/>
        </w:numPr>
        <w:spacing w:after="0" w:line="240" w:lineRule="auto"/>
        <w:rPr>
          <w:rFonts w:ascii="DM Sans" w:hAnsi="DM Sans"/>
          <w:b/>
          <w:bCs/>
          <w:color w:val="0072CE" w:themeColor="text1"/>
          <w:sz w:val="22"/>
          <w:szCs w:val="22"/>
        </w:rPr>
      </w:pPr>
      <w:r w:rsidRPr="00010AEE">
        <w:rPr>
          <w:rFonts w:ascii="DM Sans" w:hAnsi="DM Sans"/>
          <w:color w:val="0072CE" w:themeColor="text1"/>
          <w:sz w:val="22"/>
          <w:szCs w:val="22"/>
        </w:rPr>
        <w:t>Lincolnshire Executive Planning Covid Vaccine Group and Lincolnshire Seasonal Influenza Vaccination Planning Group (now combined)</w:t>
      </w:r>
    </w:p>
    <w:p w14:paraId="65678549" w14:textId="691018D6" w:rsidR="00D8498F" w:rsidRPr="00010AEE" w:rsidRDefault="004E1A5B"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Pr>
          <w:rFonts w:ascii="DM Sans" w:hAnsi="DM Sans"/>
          <w:color w:val="0072CE" w:themeColor="text1"/>
          <w:sz w:val="22"/>
          <w:szCs w:val="22"/>
        </w:rPr>
        <w:t xml:space="preserve">Pharmacy </w:t>
      </w:r>
      <w:r w:rsidR="00D8498F" w:rsidRPr="00010AEE">
        <w:rPr>
          <w:rFonts w:ascii="DM Sans" w:hAnsi="DM Sans"/>
          <w:color w:val="0072CE" w:themeColor="text1"/>
          <w:sz w:val="22"/>
          <w:szCs w:val="22"/>
        </w:rPr>
        <w:t xml:space="preserve"> Steering Group (local implementation team)</w:t>
      </w:r>
    </w:p>
    <w:p w14:paraId="4F713F53" w14:textId="77777777" w:rsidR="00D8498F" w:rsidRPr="00010AEE" w:rsidRDefault="00D8498F"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sidRPr="00010AEE">
        <w:rPr>
          <w:rFonts w:ascii="DM Sans" w:hAnsi="DM Sans"/>
          <w:color w:val="0072CE" w:themeColor="text1"/>
          <w:sz w:val="22"/>
          <w:szCs w:val="22"/>
        </w:rPr>
        <w:t>Community Pharmacy Midlands Working Group</w:t>
      </w:r>
    </w:p>
    <w:p w14:paraId="46972C04" w14:textId="77777777" w:rsidR="00D8498F" w:rsidRPr="00010AEE" w:rsidRDefault="00D8498F"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sidRPr="00010AEE">
        <w:rPr>
          <w:rFonts w:ascii="DM Sans" w:hAnsi="DM Sans"/>
          <w:color w:val="0072CE" w:themeColor="text1"/>
          <w:sz w:val="22"/>
          <w:szCs w:val="22"/>
        </w:rPr>
        <w:t>Midlands Pharmacy Integration Fund Contraceptive Pilot Steering Group</w:t>
      </w:r>
    </w:p>
    <w:p w14:paraId="30807FA1" w14:textId="77777777" w:rsidR="00D8498F" w:rsidRPr="00010AEE" w:rsidRDefault="00D8498F"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sidRPr="00010AEE">
        <w:rPr>
          <w:rFonts w:ascii="DM Sans" w:hAnsi="DM Sans"/>
          <w:color w:val="0072CE" w:themeColor="text1"/>
          <w:sz w:val="22"/>
          <w:szCs w:val="22"/>
        </w:rPr>
        <w:t>Community Pharmacy East Midlands Working Group</w:t>
      </w:r>
    </w:p>
    <w:p w14:paraId="4CAD05B9" w14:textId="77777777" w:rsidR="00D8498F" w:rsidRPr="00010AEE" w:rsidRDefault="00D8498F"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sidRPr="00010AEE">
        <w:rPr>
          <w:rFonts w:ascii="DM Sans" w:hAnsi="DM Sans"/>
          <w:color w:val="0072CE" w:themeColor="text1"/>
          <w:sz w:val="22"/>
          <w:szCs w:val="22"/>
        </w:rPr>
        <w:t>Lincolnshire Pharmacy Operational Group</w:t>
      </w:r>
    </w:p>
    <w:p w14:paraId="3504DBD3" w14:textId="0F411F26" w:rsidR="00027076" w:rsidRPr="00010AEE" w:rsidRDefault="00027076" w:rsidP="00D8498F">
      <w:pPr>
        <w:pStyle w:val="ListParagraph"/>
        <w:numPr>
          <w:ilvl w:val="0"/>
          <w:numId w:val="17"/>
        </w:numPr>
        <w:spacing w:after="0" w:line="240" w:lineRule="auto"/>
        <w:ind w:left="714" w:hanging="357"/>
        <w:rPr>
          <w:rFonts w:ascii="DM Sans" w:eastAsiaTheme="majorEastAsia" w:hAnsi="DM Sans" w:cstheme="majorBidi"/>
          <w:color w:val="0072CE" w:themeColor="text1"/>
          <w:sz w:val="22"/>
          <w:szCs w:val="22"/>
        </w:rPr>
      </w:pPr>
      <w:r w:rsidRPr="00010AEE">
        <w:rPr>
          <w:rFonts w:ascii="DM Sans" w:hAnsi="DM Sans"/>
          <w:color w:val="0072CE" w:themeColor="text1"/>
          <w:sz w:val="22"/>
          <w:szCs w:val="22"/>
        </w:rPr>
        <w:t>Primary Care People Group</w:t>
      </w:r>
    </w:p>
    <w:p w14:paraId="71FAE422" w14:textId="77777777" w:rsidR="00383140" w:rsidRDefault="00383140" w:rsidP="00D8498F">
      <w:pPr>
        <w:spacing w:after="0" w:line="240" w:lineRule="auto"/>
      </w:pPr>
    </w:p>
    <w:p w14:paraId="4E0BAA37" w14:textId="3E0ED950" w:rsidR="00EE0B50" w:rsidRDefault="00383140" w:rsidP="00383140">
      <w:pPr>
        <w:pStyle w:val="Heading3"/>
      </w:pPr>
      <w:r>
        <w:t>Wider Health System and Stakeholder Engagement leading to Funding Opportunities</w:t>
      </w:r>
    </w:p>
    <w:p w14:paraId="296AE166" w14:textId="122B1F45" w:rsidR="00502A60" w:rsidRPr="00457D18" w:rsidRDefault="00502A60" w:rsidP="00502A60">
      <w:pPr>
        <w:jc w:val="both"/>
      </w:pPr>
      <w:r w:rsidRPr="00457D18">
        <w:t xml:space="preserve">Following our success in accessing funding for three bids to the Primary Care People Group Fund to support Technician Upskilling, Designated Prescribing Practitioners for Community Pharmacists completing an Independent Prescriber qualification and the Lifeguard (Mental Health, Domestic Abuse and Suicide Prevention focused ) project development. (working in conjunction with the University of Lincoln). </w:t>
      </w:r>
    </w:p>
    <w:p w14:paraId="0455BE68" w14:textId="77777777" w:rsidR="00502A60" w:rsidRPr="00457D18" w:rsidRDefault="00502A60" w:rsidP="00502A60">
      <w:pPr>
        <w:jc w:val="both"/>
      </w:pPr>
      <w:r w:rsidRPr="00457D18">
        <w:t xml:space="preserve">The </w:t>
      </w:r>
      <w:r w:rsidRPr="00457D18">
        <w:rPr>
          <w:b/>
          <w:bCs/>
        </w:rPr>
        <w:t>Lifeguard</w:t>
      </w:r>
      <w:r w:rsidRPr="00457D18">
        <w:t xml:space="preserve"> project is now complete and saw 11 new Lifeguards trained to provide supportive signposting to those affected by domestic abuse, suicide ideation and other mental health issues, with streamline resources now easily accessible on the LPC website for all contractors to access. </w:t>
      </w:r>
    </w:p>
    <w:p w14:paraId="68764B2C" w14:textId="77777777" w:rsidR="00502A60" w:rsidRPr="00457D18" w:rsidRDefault="00502A60" w:rsidP="00502A60">
      <w:pPr>
        <w:jc w:val="both"/>
        <w:rPr>
          <w:sz w:val="24"/>
          <w:szCs w:val="24"/>
        </w:rPr>
      </w:pPr>
      <w:r w:rsidRPr="00457D18">
        <w:t xml:space="preserve">Four individuals have applied for and been accepted for the Independent Prescriber Support </w:t>
      </w:r>
      <w:r w:rsidRPr="00457D18">
        <w:rPr>
          <w:b/>
          <w:bCs/>
        </w:rPr>
        <w:t>Teach and Treat</w:t>
      </w:r>
      <w:r w:rsidRPr="00457D18">
        <w:t xml:space="preserve"> programme, which allows Designated Prescribing Practitioners (DPPs) supporting the Independent Prescribing Pharmacist when training to receive expenses to cover their costs, as we know finding a DPP can be a barrier to completing Independent Prescriber training. </w:t>
      </w:r>
      <w:r w:rsidRPr="00457D18">
        <w:rPr>
          <w:rFonts w:cs="Calibri"/>
        </w:rPr>
        <w:t xml:space="preserve">Currently there is no national payment to the DPP for this work and GPs as DPPs have to provide the supervision for no remuneration.  This discourages engagement in pressured practices where there are competing demands on GP and other staff time.  The provision of a payment to </w:t>
      </w:r>
      <w:r w:rsidRPr="00457D18">
        <w:rPr>
          <w:rFonts w:cs="Calibri"/>
        </w:rPr>
        <w:lastRenderedPageBreak/>
        <w:t xml:space="preserve">the practice can help mitigate impacts by providing funding for GP direct additional time and an extra amount to recognize the engagement of the practice. There are currently six places remaining and more information about the project can be found </w:t>
      </w:r>
      <w:hyperlink r:id="rId14" w:history="1">
        <w:r w:rsidRPr="00457D18">
          <w:rPr>
            <w:rStyle w:val="Hyperlink"/>
            <w:rFonts w:cs="Calibri"/>
          </w:rPr>
          <w:t>here</w:t>
        </w:r>
      </w:hyperlink>
      <w:r w:rsidRPr="00457D18">
        <w:rPr>
          <w:rFonts w:cs="Calibri"/>
        </w:rPr>
        <w:t>.</w:t>
      </w:r>
    </w:p>
    <w:p w14:paraId="1D2EBFB3" w14:textId="77777777" w:rsidR="00502A60" w:rsidRDefault="00502A60" w:rsidP="00502A60">
      <w:pPr>
        <w:jc w:val="both"/>
      </w:pPr>
      <w:r w:rsidRPr="00457D18">
        <w:t xml:space="preserve">We still have funds available to support </w:t>
      </w:r>
      <w:r w:rsidRPr="00457D18">
        <w:rPr>
          <w:b/>
          <w:bCs/>
        </w:rPr>
        <w:t>Technician Upskilling</w:t>
      </w:r>
      <w:r w:rsidRPr="00457D18">
        <w:t xml:space="preserve">, allowing the Accuracy Checking Technician course fees to be paid for contractors. Government funded places on the ACPT course are limited each year. CPL have accessed some non-recurrent monies to support contractors who are not successful in gaining a funded place. CPL have funding for up to 28 places at £330 including VAT, offered on a first come first served basis to qualifying contractors.  No additional support is available, solely course fees can be paid but if contractors are interested in they can find out more </w:t>
      </w:r>
      <w:hyperlink r:id="rId15" w:history="1">
        <w:r w:rsidRPr="00457D18">
          <w:rPr>
            <w:rStyle w:val="Hyperlink"/>
          </w:rPr>
          <w:t>here</w:t>
        </w:r>
      </w:hyperlink>
      <w:r w:rsidRPr="00457D18">
        <w:t>.</w:t>
      </w:r>
    </w:p>
    <w:p w14:paraId="2D6F4C45" w14:textId="77777777" w:rsidR="00D8498F" w:rsidRPr="00E362A7" w:rsidRDefault="00D8498F" w:rsidP="00D8498F">
      <w:pPr>
        <w:spacing w:after="0" w:line="240" w:lineRule="auto"/>
        <w:rPr>
          <w:rFonts w:asciiTheme="majorHAnsi" w:eastAsiaTheme="majorEastAsia" w:hAnsiTheme="majorHAnsi" w:cstheme="majorBidi"/>
          <w:color w:val="EA3C00" w:themeColor="accent1" w:themeShade="BF"/>
          <w:sz w:val="28"/>
          <w:szCs w:val="28"/>
        </w:rPr>
      </w:pPr>
    </w:p>
    <w:p w14:paraId="21CDBE5F" w14:textId="027808A6" w:rsidR="00D8498F" w:rsidRPr="00282344" w:rsidRDefault="00D8498F" w:rsidP="00900144">
      <w:pPr>
        <w:pStyle w:val="Heading3"/>
      </w:pPr>
      <w:r w:rsidRPr="00282344">
        <w:t>Local University and Academic Engagement</w:t>
      </w:r>
      <w:r w:rsidR="004D0C86" w:rsidRPr="00282344">
        <w:br/>
      </w:r>
    </w:p>
    <w:p w14:paraId="286D783E" w14:textId="77777777" w:rsidR="00D8498F" w:rsidRPr="00C33896" w:rsidRDefault="00D8498F" w:rsidP="005E370A">
      <w:pPr>
        <w:pStyle w:val="Heading4"/>
        <w:jc w:val="both"/>
        <w:rPr>
          <w:b/>
          <w:bCs/>
        </w:rPr>
      </w:pPr>
      <w:r w:rsidRPr="00C33896">
        <w:rPr>
          <w:b/>
          <w:bCs/>
        </w:rPr>
        <w:t>The Lifeguard Project</w:t>
      </w:r>
    </w:p>
    <w:p w14:paraId="0AAAB4E0" w14:textId="074D24D1" w:rsidR="00D8498F" w:rsidRDefault="00D8498F" w:rsidP="005E370A">
      <w:pPr>
        <w:jc w:val="both"/>
      </w:pPr>
      <w:r>
        <w:t>CPL supported this innovative project, piloting a support service in pharmacies for domestic abuse victims and those experiencing suicidal thoughts. Chris Kenny, Superintendent Pharmacist at Lincolnshire Coop Pharmacies and Treasurer of CPL</w:t>
      </w:r>
      <w:r w:rsidR="004D0C86">
        <w:t>,</w:t>
      </w:r>
      <w:r>
        <w:t xml:space="preserve"> and Tracey Latham-Green, Chief Officer, CPL sat on regular meetings with the University Steering Group. The pilot project end</w:t>
      </w:r>
      <w:r w:rsidR="0016182F">
        <w:t>ed</w:t>
      </w:r>
      <w:r>
        <w:t xml:space="preserve"> in September 2023</w:t>
      </w:r>
      <w:r w:rsidR="005D6EFB">
        <w:t xml:space="preserve"> with very good results. </w:t>
      </w:r>
      <w:r w:rsidR="0001386B">
        <w:t xml:space="preserve">Articles have been published in Pharmaceutical Journal </w:t>
      </w:r>
      <w:hyperlink r:id="rId16" w:history="1">
        <w:r w:rsidR="0001386B" w:rsidRPr="008D7BB1">
          <w:rPr>
            <w:rStyle w:val="Hyperlink"/>
          </w:rPr>
          <w:t>here</w:t>
        </w:r>
      </w:hyperlink>
      <w:r w:rsidR="0001386B">
        <w:t xml:space="preserve"> and in academic titles </w:t>
      </w:r>
      <w:hyperlink r:id="rId17" w:history="1">
        <w:r w:rsidR="0001386B" w:rsidRPr="006033B4">
          <w:rPr>
            <w:rStyle w:val="Hyperlink"/>
          </w:rPr>
          <w:t>here</w:t>
        </w:r>
      </w:hyperlink>
      <w:r w:rsidR="00075DDB">
        <w:t xml:space="preserve"> and </w:t>
      </w:r>
      <w:hyperlink r:id="rId18" w:history="1">
        <w:r w:rsidR="0001386B" w:rsidRPr="006033B4">
          <w:rPr>
            <w:rStyle w:val="Hyperlink"/>
          </w:rPr>
          <w:t>here</w:t>
        </w:r>
      </w:hyperlink>
      <w:r w:rsidR="00075DDB">
        <w:t>, with a third academic paper due to be published imminently</w:t>
      </w:r>
      <w:r w:rsidR="0001386B">
        <w:t>.</w:t>
      </w:r>
      <w:r w:rsidR="0016182F">
        <w:t xml:space="preserve"> </w:t>
      </w:r>
      <w:r w:rsidR="008D50C0">
        <w:t xml:space="preserve">The Project Team are currently working on a future sustainable model for the service to enable funding to be </w:t>
      </w:r>
      <w:r w:rsidR="005D6EFB">
        <w:t>acquired in the longer term. Th</w:t>
      </w:r>
      <w:r w:rsidR="00314A9F">
        <w:t>is financial year th</w:t>
      </w:r>
      <w:r w:rsidR="005D6EFB">
        <w:t xml:space="preserve">e LPC </w:t>
      </w:r>
      <w:r w:rsidR="00CB5E6E">
        <w:t xml:space="preserve">worked with </w:t>
      </w:r>
      <w:r w:rsidR="00314A9F">
        <w:t>the University of Lincoln</w:t>
      </w:r>
      <w:r w:rsidR="00CB5E6E">
        <w:t xml:space="preserve"> and </w:t>
      </w:r>
      <w:r w:rsidR="00314A9F">
        <w:t>the ICS P</w:t>
      </w:r>
      <w:r w:rsidR="00CB5E6E">
        <w:t xml:space="preserve">rimary </w:t>
      </w:r>
      <w:r w:rsidR="00314A9F">
        <w:t>C</w:t>
      </w:r>
      <w:r w:rsidR="00CB5E6E">
        <w:t xml:space="preserve">are </w:t>
      </w:r>
      <w:r w:rsidR="00314A9F">
        <w:t>P</w:t>
      </w:r>
      <w:r w:rsidR="00CB5E6E">
        <w:t xml:space="preserve">eople </w:t>
      </w:r>
      <w:r w:rsidR="00314A9F">
        <w:t>G</w:t>
      </w:r>
      <w:r w:rsidR="00CB5E6E">
        <w:t xml:space="preserve">roup to </w:t>
      </w:r>
      <w:r w:rsidR="00B125B2">
        <w:t>support a second stage Lifeguard Lite pilot, which aimed to train more Lifeguards and streamline the service</w:t>
      </w:r>
      <w:r w:rsidR="00AA6841">
        <w:t xml:space="preserve"> design</w:t>
      </w:r>
      <w:r w:rsidR="00314A9F">
        <w:t xml:space="preserve"> and resources</w:t>
      </w:r>
      <w:r w:rsidR="00AA6841">
        <w:t xml:space="preserve">. This pilot ended in December 2024 with positive results. The LPC will continue to engage with any developments in this </w:t>
      </w:r>
      <w:r w:rsidR="00314A9F">
        <w:t>area.</w:t>
      </w:r>
    </w:p>
    <w:p w14:paraId="51E99A64" w14:textId="77777777" w:rsidR="00D8498F" w:rsidRPr="00C33896" w:rsidRDefault="00D8498F" w:rsidP="005E370A">
      <w:pPr>
        <w:pStyle w:val="Heading4"/>
        <w:jc w:val="both"/>
        <w:rPr>
          <w:b/>
          <w:bCs/>
        </w:rPr>
      </w:pPr>
      <w:r w:rsidRPr="00C33896">
        <w:rPr>
          <w:b/>
          <w:bCs/>
        </w:rPr>
        <w:lastRenderedPageBreak/>
        <w:t>University of Lincoln Research Group</w:t>
      </w:r>
    </w:p>
    <w:p w14:paraId="09D4BDD5" w14:textId="0D023580" w:rsidR="00D8498F" w:rsidRDefault="00D8498F" w:rsidP="005E370A">
      <w:pPr>
        <w:jc w:val="both"/>
      </w:pPr>
      <w:r>
        <w:t xml:space="preserve">The Chief Officer of CPL </w:t>
      </w:r>
      <w:r w:rsidR="0007677B">
        <w:t xml:space="preserve">continued as a Senior Visiting Fellow until </w:t>
      </w:r>
      <w:r w:rsidR="00162EEA">
        <w:t>September 2024</w:t>
      </w:r>
      <w:r w:rsidR="0007677B">
        <w:t xml:space="preserve"> </w:t>
      </w:r>
      <w:r>
        <w:t xml:space="preserve">at the University of Lincoln, which  allowed a relationship to be built between the University and CPL that will be useful for future service development and upskilling opportunities. </w:t>
      </w:r>
    </w:p>
    <w:p w14:paraId="406F3216" w14:textId="77777777" w:rsidR="001B44A9" w:rsidRDefault="001B44A9" w:rsidP="005E370A">
      <w:pPr>
        <w:jc w:val="both"/>
      </w:pPr>
    </w:p>
    <w:p w14:paraId="61CFCCBA" w14:textId="22ADD3F7" w:rsidR="005D6EFB" w:rsidRPr="00941197" w:rsidRDefault="005D6EFB" w:rsidP="00900144">
      <w:pPr>
        <w:pStyle w:val="Heading3"/>
      </w:pPr>
      <w:r>
        <w:t>Collaboration with Regional LPC Colleagues</w:t>
      </w:r>
    </w:p>
    <w:p w14:paraId="41833D24" w14:textId="5D003486" w:rsidR="00D8498F" w:rsidRDefault="005D6EFB" w:rsidP="005E370A">
      <w:pPr>
        <w:jc w:val="both"/>
      </w:pPr>
      <w:r>
        <w:t xml:space="preserve">We </w:t>
      </w:r>
      <w:r w:rsidR="004C207E">
        <w:t>continue to work collaboratively with our colleagues across the Midlands, meeting quarterly across the ent</w:t>
      </w:r>
      <w:r w:rsidR="001C0A32">
        <w:t>i</w:t>
      </w:r>
      <w:r w:rsidR="001B44A9">
        <w:t>r</w:t>
      </w:r>
      <w:r w:rsidR="004C207E">
        <w:t>e Midlands region (</w:t>
      </w:r>
      <w:r w:rsidR="00282344">
        <w:t>two</w:t>
      </w:r>
      <w:r w:rsidR="004C207E">
        <w:t xml:space="preserve"> </w:t>
      </w:r>
      <w:r w:rsidR="00282344">
        <w:t>f</w:t>
      </w:r>
      <w:r w:rsidR="004C207E">
        <w:t>ace</w:t>
      </w:r>
      <w:r w:rsidR="00282344">
        <w:t>-</w:t>
      </w:r>
      <w:r w:rsidR="004C207E">
        <w:t>to</w:t>
      </w:r>
      <w:r w:rsidR="00282344">
        <w:t>-f</w:t>
      </w:r>
      <w:r w:rsidR="004C207E">
        <w:t xml:space="preserve">ace </w:t>
      </w:r>
      <w:r w:rsidR="00282344">
        <w:t xml:space="preserve"> and two virtual meetings</w:t>
      </w:r>
      <w:r w:rsidR="004C207E">
        <w:t xml:space="preserve">) and bi-monthly via </w:t>
      </w:r>
      <w:r w:rsidR="004D0C86">
        <w:t>Microsoft Teams</w:t>
      </w:r>
      <w:r w:rsidR="004C207E">
        <w:t xml:space="preserve"> with East Midlands colleagues. This enables us to </w:t>
      </w:r>
      <w:r w:rsidR="006F1CB1">
        <w:t>discuss key issues that jointly affect us</w:t>
      </w:r>
      <w:r w:rsidR="001C0A32">
        <w:t xml:space="preserve"> and share resource</w:t>
      </w:r>
      <w:r w:rsidR="00716EC0">
        <w:t>s</w:t>
      </w:r>
      <w:r w:rsidR="001C0A32">
        <w:t>,</w:t>
      </w:r>
      <w:r w:rsidR="006F1CB1">
        <w:t xml:space="preserve"> to ensure efficiency and avoid duplication</w:t>
      </w:r>
      <w:r w:rsidR="00716EC0">
        <w:t>,</w:t>
      </w:r>
      <w:r w:rsidR="001C0A32">
        <w:t xml:space="preserve"> maximising</w:t>
      </w:r>
      <w:r w:rsidR="004C207E">
        <w:t xml:space="preserve"> value for contractors </w:t>
      </w:r>
      <w:r w:rsidR="006F1CB1">
        <w:t>across the region.</w:t>
      </w:r>
    </w:p>
    <w:p w14:paraId="690A61B7" w14:textId="77777777" w:rsidR="00831100" w:rsidRDefault="00831100" w:rsidP="005E370A">
      <w:pPr>
        <w:jc w:val="both"/>
      </w:pPr>
    </w:p>
    <w:p w14:paraId="62CD60B9" w14:textId="77777777" w:rsidR="00D8498F" w:rsidRDefault="00D8498F" w:rsidP="00900144">
      <w:pPr>
        <w:pStyle w:val="Heading3"/>
      </w:pPr>
      <w:r>
        <w:t>Contractor Engagement and Support</w:t>
      </w:r>
    </w:p>
    <w:p w14:paraId="53C0EDE2" w14:textId="77777777" w:rsidR="00D8498F" w:rsidRDefault="00D8498F" w:rsidP="005E370A">
      <w:pPr>
        <w:jc w:val="both"/>
      </w:pPr>
      <w:r>
        <w:t>Engagement with contractors continues via the weekly newsletter circulation, including upcoming deadlines, shared directly to registered mailboxes, via twitter, Facebook and the website. The weekly newsletter continues to provide a summary of key interest areas for contractors including upcoming deadlines and available training and resources.</w:t>
      </w:r>
    </w:p>
    <w:p w14:paraId="0EF2F0D9" w14:textId="1712FDD9" w:rsidR="002175B3" w:rsidRPr="00C33896" w:rsidRDefault="002175B3" w:rsidP="005E370A">
      <w:pPr>
        <w:jc w:val="both"/>
      </w:pPr>
      <w:r w:rsidRPr="00C33896">
        <w:t xml:space="preserve">This year saw </w:t>
      </w:r>
      <w:r w:rsidR="00284280">
        <w:t>focus on the promotion of</w:t>
      </w:r>
      <w:r w:rsidRPr="00C33896">
        <w:t xml:space="preserve"> Pharmacy First </w:t>
      </w:r>
      <w:r w:rsidR="00284280">
        <w:t>as well as increasing contractor sign-up to</w:t>
      </w:r>
      <w:r w:rsidRPr="00C33896">
        <w:t xml:space="preserve"> Hypertension Case Finding and Contraception Service</w:t>
      </w:r>
      <w:r w:rsidR="00282344" w:rsidRPr="00C33896">
        <w:t>s</w:t>
      </w:r>
      <w:r w:rsidRPr="00C33896">
        <w:t xml:space="preserve">, </w:t>
      </w:r>
      <w:r w:rsidR="00284280">
        <w:t>in readiness for the bundling requirements related to monthly threshold payments for Pharmacy First as from 1</w:t>
      </w:r>
      <w:r w:rsidR="00284280" w:rsidRPr="00284280">
        <w:rPr>
          <w:vertAlign w:val="superscript"/>
        </w:rPr>
        <w:t>st</w:t>
      </w:r>
      <w:r w:rsidR="00284280">
        <w:t xml:space="preserve"> April 2025</w:t>
      </w:r>
      <w:r w:rsidRPr="00C33896">
        <w:t xml:space="preserve">. CPL </w:t>
      </w:r>
      <w:r w:rsidR="00351CA9" w:rsidRPr="00C33896">
        <w:t xml:space="preserve">gained non-recurrent funding from the ICS to allow a training day for </w:t>
      </w:r>
      <w:r w:rsidR="00BA5169">
        <w:t xml:space="preserve">Contraception </w:t>
      </w:r>
      <w:r w:rsidR="00351CA9" w:rsidRPr="00C33896">
        <w:t xml:space="preserve">to be held in Lincolnshire with </w:t>
      </w:r>
      <w:r w:rsidR="00BA5169">
        <w:t>40 places</w:t>
      </w:r>
      <w:r w:rsidR="00284280">
        <w:t xml:space="preserve"> and has continued to use channels such as Healthwatch and ICS social media to promote pharmacy services</w:t>
      </w:r>
      <w:r w:rsidR="00D83A73">
        <w:t>.</w:t>
      </w:r>
    </w:p>
    <w:p w14:paraId="1D0C2526" w14:textId="08DC3DFB" w:rsidR="002175B3" w:rsidRDefault="002175B3" w:rsidP="005E370A">
      <w:pPr>
        <w:jc w:val="both"/>
      </w:pPr>
      <w:r w:rsidRPr="00C33896">
        <w:t>We shared resource</w:t>
      </w:r>
      <w:r w:rsidRPr="00282344">
        <w:t xml:space="preserve"> summaries and links</w:t>
      </w:r>
      <w:r w:rsidR="00351CA9" w:rsidRPr="00282344">
        <w:t xml:space="preserve"> both directly and in the newsletter</w:t>
      </w:r>
      <w:r w:rsidR="00D83A73">
        <w:t xml:space="preserve"> to support contractor service delivery</w:t>
      </w:r>
      <w:r w:rsidR="00334F60" w:rsidRPr="00282344">
        <w:t>.</w:t>
      </w:r>
    </w:p>
    <w:p w14:paraId="06DF4762" w14:textId="1707B518" w:rsidR="002175B3" w:rsidRDefault="00351CA9" w:rsidP="005E370A">
      <w:pPr>
        <w:jc w:val="both"/>
      </w:pPr>
      <w:r>
        <w:t xml:space="preserve">We also worked with the ICS Community Pharmacy Clinical Lead to </w:t>
      </w:r>
      <w:r w:rsidR="00DA7AFB">
        <w:t>increase service uptake</w:t>
      </w:r>
      <w:r>
        <w:t xml:space="preserve">, </w:t>
      </w:r>
      <w:r w:rsidR="00282344">
        <w:t xml:space="preserve">liaising with </w:t>
      </w:r>
      <w:r>
        <w:t>NHSE</w:t>
      </w:r>
      <w:r w:rsidR="00BD7B09">
        <w:t xml:space="preserve"> and the regional team where necessary to resolve queries.</w:t>
      </w:r>
    </w:p>
    <w:p w14:paraId="72E573F0" w14:textId="618A1B7D" w:rsidR="00334F60" w:rsidRDefault="00334F60" w:rsidP="005E370A">
      <w:pPr>
        <w:jc w:val="both"/>
      </w:pPr>
      <w:r>
        <w:lastRenderedPageBreak/>
        <w:t>The Services Implementation and Development Lead</w:t>
      </w:r>
      <w:r w:rsidR="00AA122C">
        <w:t xml:space="preserve"> supported contractors </w:t>
      </w:r>
      <w:r w:rsidR="00F527DD">
        <w:t>to increase</w:t>
      </w:r>
      <w:r w:rsidR="004D0C86">
        <w:t xml:space="preserve"> GP referral into </w:t>
      </w:r>
      <w:r w:rsidR="005F13ED">
        <w:t>Pharmacy First</w:t>
      </w:r>
      <w:r w:rsidR="004D0C86">
        <w:t xml:space="preserve"> - </w:t>
      </w:r>
      <w:r w:rsidR="00AA122C">
        <w:t xml:space="preserve">both directly and through working with general practice and the system to increase referrals from general practice, supported by the Chief Officer. We secured funding from the ICS to </w:t>
      </w:r>
      <w:r w:rsidR="00C20FEB">
        <w:t xml:space="preserve">provide </w:t>
      </w:r>
      <w:r w:rsidR="000B45C8">
        <w:t>software</w:t>
      </w:r>
      <w:r w:rsidR="00C20FEB">
        <w:t xml:space="preserve"> for GP practices</w:t>
      </w:r>
      <w:r w:rsidR="000B45C8">
        <w:t xml:space="preserve"> to facilitate smoother referrals with efficient and simple triage </w:t>
      </w:r>
      <w:r w:rsidR="000B45C8" w:rsidRPr="009953EB">
        <w:t>from general practice</w:t>
      </w:r>
      <w:r w:rsidR="00876458" w:rsidRPr="009953EB">
        <w:t xml:space="preserve"> and have worked with the system to ensure hurdles for GP/pharmacy referral can be overcome</w:t>
      </w:r>
      <w:r w:rsidR="008F09D2" w:rsidRPr="009953EB">
        <w:t>.</w:t>
      </w:r>
    </w:p>
    <w:p w14:paraId="52EC5FA5" w14:textId="77777777" w:rsidR="00D8498F" w:rsidRPr="002942EF" w:rsidRDefault="00D8498F" w:rsidP="00900144">
      <w:pPr>
        <w:pStyle w:val="Heading3"/>
      </w:pPr>
      <w:r w:rsidRPr="002942EF">
        <w:t>Public Engagement</w:t>
      </w:r>
    </w:p>
    <w:p w14:paraId="0A70E76D" w14:textId="15FA5FE9" w:rsidR="00D8498F" w:rsidRDefault="00D8498F" w:rsidP="005E370A">
      <w:pPr>
        <w:jc w:val="both"/>
      </w:pPr>
      <w:r>
        <w:t xml:space="preserve">The public facing webpage continues to promote community pharmacy in Lincolnshire ensures maximum visibility of community pharmacy across the county.  Patients landing on the CPL website homepage are prompted via a pop-up window to visit the public facing website at </w:t>
      </w:r>
      <w:hyperlink r:id="rId19" w:history="1">
        <w:r w:rsidRPr="00065F7F">
          <w:rPr>
            <w:rStyle w:val="Hyperlink"/>
          </w:rPr>
          <w:t>www.lincolnshirepharmacies.co.uk</w:t>
        </w:r>
      </w:hyperlink>
      <w:r>
        <w:t>, which is clearly highlighted on CPL’s Facebook page.  The website is designed to signpost and link patients to centrally managed NHS pharmacy resources as well as show the locations of pharmacies within the county.</w:t>
      </w:r>
    </w:p>
    <w:p w14:paraId="286AFD24" w14:textId="421F5570" w:rsidR="00D8498F" w:rsidRDefault="00D8498F" w:rsidP="005E370A">
      <w:pPr>
        <w:jc w:val="both"/>
      </w:pPr>
      <w:r>
        <w:t xml:space="preserve">This year we have worked closely with Healthwatch </w:t>
      </w:r>
      <w:r w:rsidR="00121C1E">
        <w:t xml:space="preserve">and the Integrated Care System </w:t>
      </w:r>
      <w:r>
        <w:t xml:space="preserve">to develop resources for patients in </w:t>
      </w:r>
      <w:r w:rsidR="0033162D">
        <w:t xml:space="preserve">the </w:t>
      </w:r>
      <w:r>
        <w:t>county to increase public understanding of the services offered by community pharmacies.</w:t>
      </w:r>
      <w:r w:rsidR="000247AA">
        <w:t xml:space="preserve"> This included promotional materials for the Pharmacy First Service launch</w:t>
      </w:r>
      <w:r w:rsidR="00BF0261">
        <w:t>, with specific campaigns targeted at schools, children in general and holidaymakers</w:t>
      </w:r>
      <w:r w:rsidR="00E6089C">
        <w:t>.</w:t>
      </w:r>
      <w:r w:rsidR="00B415F9">
        <w:t xml:space="preserve"> </w:t>
      </w:r>
      <w:r w:rsidR="00B676E0">
        <w:t>We were involved in designing materials to promote understanding of the service to Lincolnshire patients</w:t>
      </w:r>
      <w:r w:rsidR="009B522A">
        <w:t xml:space="preserve">, including </w:t>
      </w:r>
      <w:r w:rsidR="00542CF7">
        <w:t xml:space="preserve">outline symptoms, information for </w:t>
      </w:r>
      <w:r w:rsidR="009B522A">
        <w:t>those who do not pay for prescriptions having the same exemptions under the PGDs for the service and specific elements that are helpful for working people.</w:t>
      </w:r>
      <w:r w:rsidR="00542CF7">
        <w:t xml:space="preserve"> We have shared these resources widely.</w:t>
      </w:r>
    </w:p>
    <w:p w14:paraId="5AA90B55" w14:textId="77777777" w:rsidR="00802B19" w:rsidRDefault="00802B19" w:rsidP="005E370A">
      <w:pPr>
        <w:jc w:val="both"/>
      </w:pPr>
    </w:p>
    <w:p w14:paraId="7AD52DEA" w14:textId="28994415" w:rsidR="00831100" w:rsidRPr="00831100" w:rsidRDefault="00D8498F" w:rsidP="00831100">
      <w:pPr>
        <w:pStyle w:val="Heading3"/>
      </w:pPr>
      <w:r>
        <w:t>Parliamentary</w:t>
      </w:r>
      <w:r w:rsidR="00D2129F">
        <w:t xml:space="preserve"> and Local Government</w:t>
      </w:r>
      <w:r w:rsidRPr="002942EF">
        <w:t xml:space="preserve"> Engagement</w:t>
      </w:r>
    </w:p>
    <w:p w14:paraId="234220CB" w14:textId="1FE489AD" w:rsidR="00D8498F" w:rsidRDefault="00D8498F" w:rsidP="005E370A">
      <w:pPr>
        <w:jc w:val="both"/>
      </w:pPr>
      <w:r w:rsidRPr="00A50DFC">
        <w:t xml:space="preserve">Now that Community Pharmacy England </w:t>
      </w:r>
      <w:r w:rsidR="009C7F81">
        <w:t>is</w:t>
      </w:r>
      <w:r w:rsidR="009C7F81" w:rsidRPr="00A50DFC">
        <w:t xml:space="preserve"> </w:t>
      </w:r>
      <w:r w:rsidRPr="00A50DFC">
        <w:t xml:space="preserve">taking an active </w:t>
      </w:r>
      <w:r w:rsidR="0033162D" w:rsidRPr="00A50DFC">
        <w:t>role</w:t>
      </w:r>
      <w:r w:rsidRPr="00A50DFC">
        <w:t xml:space="preserve"> in MP engagement, </w:t>
      </w:r>
      <w:r w:rsidR="007B22B1" w:rsidRPr="00A50DFC">
        <w:t>we continue</w:t>
      </w:r>
      <w:r w:rsidRPr="00A50DFC">
        <w:t xml:space="preserve"> to focus </w:t>
      </w:r>
      <w:r w:rsidR="009C7F81">
        <w:t xml:space="preserve">on </w:t>
      </w:r>
      <w:r w:rsidRPr="00A50DFC">
        <w:t>supporting CPE</w:t>
      </w:r>
      <w:r w:rsidR="009C7F81">
        <w:t>’s</w:t>
      </w:r>
      <w:r w:rsidRPr="00A50DFC">
        <w:t xml:space="preserve"> coordinated communication with MPs in</w:t>
      </w:r>
      <w:r w:rsidR="009C7F81">
        <w:t xml:space="preserve"> the</w:t>
      </w:r>
      <w:r w:rsidRPr="00A50DFC">
        <w:t xml:space="preserve"> county, so that a uniform message is presented across </w:t>
      </w:r>
      <w:r w:rsidR="009C7F81">
        <w:t>England</w:t>
      </w:r>
      <w:r w:rsidRPr="00A50DFC">
        <w:t>.  The existing relationships we have built</w:t>
      </w:r>
      <w:r w:rsidR="009C7F81">
        <w:t xml:space="preserve"> and maintain</w:t>
      </w:r>
      <w:r w:rsidRPr="00A50DFC">
        <w:t xml:space="preserve"> with our local MPs has been shown to assist CPE greatly in terms of MP responses. This work resulted in</w:t>
      </w:r>
      <w:r w:rsidR="00E66B90" w:rsidRPr="00A50DFC">
        <w:t xml:space="preserve"> </w:t>
      </w:r>
      <w:r w:rsidR="00EA297D">
        <w:t xml:space="preserve">correspondence from Community Pharmacy Lincolnshire being utilised by CPE </w:t>
      </w:r>
      <w:r w:rsidR="00EA297D">
        <w:lastRenderedPageBreak/>
        <w:t>directly in the contractual negotiations prior to Pharmacy</w:t>
      </w:r>
      <w:r w:rsidR="0033162D">
        <w:t xml:space="preserve"> </w:t>
      </w:r>
      <w:r w:rsidR="00EA297D">
        <w:t>First, contraception and hypertension</w:t>
      </w:r>
      <w:r w:rsidR="00004E5E">
        <w:t xml:space="preserve"> case-finding</w:t>
      </w:r>
      <w:r w:rsidR="00EA297D">
        <w:t xml:space="preserve"> funding increase announcements, with our letter</w:t>
      </w:r>
      <w:r w:rsidR="00004E5E">
        <w:t xml:space="preserve"> written to MPs</w:t>
      </w:r>
      <w:r w:rsidR="00EA297D">
        <w:t xml:space="preserve"> being sent directly to the Prime Minister, Health Minister and various other government representatives</w:t>
      </w:r>
      <w:r w:rsidR="00041244">
        <w:t xml:space="preserve"> last financial year-this influence continues</w:t>
      </w:r>
    </w:p>
    <w:p w14:paraId="33E9AEBD" w14:textId="19CAFC3C" w:rsidR="00C33896" w:rsidRDefault="00BC2897" w:rsidP="005E370A">
      <w:pPr>
        <w:jc w:val="both"/>
      </w:pPr>
      <w:r>
        <w:t xml:space="preserve">Our engagement resulted in </w:t>
      </w:r>
      <w:r w:rsidR="009518A0">
        <w:t xml:space="preserve">meetings with MPs who asked </w:t>
      </w:r>
      <w:r w:rsidR="007726E4">
        <w:t xml:space="preserve">parliamentary </w:t>
      </w:r>
      <w:r w:rsidR="009518A0">
        <w:t xml:space="preserve">questions </w:t>
      </w:r>
      <w:r w:rsidR="00E444A8">
        <w:t xml:space="preserve">and written letters to ministers </w:t>
      </w:r>
      <w:r w:rsidR="009518A0">
        <w:t>on behalf of pharmacy, in addition to visits to Community Pharmacies for the two newly elected MPs in the county following the July 2024</w:t>
      </w:r>
      <w:r w:rsidR="008039E3">
        <w:t xml:space="preserve"> general election: Richard Tice, MP for Boston and Skegness and Hamish Falconer, MP for Lincoln.</w:t>
      </w:r>
    </w:p>
    <w:p w14:paraId="13ABCBBD" w14:textId="4F15528D" w:rsidR="008D0ACD" w:rsidRDefault="00BA377E" w:rsidP="005E370A">
      <w:pPr>
        <w:jc w:val="both"/>
      </w:pPr>
      <w:r>
        <w:t>The Chair and Chief Officer were asked to present to Lincolnshire County Council Health Scrutiny Committee</w:t>
      </w:r>
      <w:r w:rsidR="009A2328">
        <w:t xml:space="preserve"> (HSC)</w:t>
      </w:r>
      <w:r>
        <w:t xml:space="preserve"> in November 2024</w:t>
      </w:r>
      <w:r w:rsidR="009A2328">
        <w:t xml:space="preserve">, producing a report outlining pharmacy services in the county, in particular Pharmacy First, Hypertension and Contraception, as well as funding issues and Medicines Supply Issues. The HSC </w:t>
      </w:r>
      <w:r w:rsidR="00A34102">
        <w:t>were very interested in and concerned about the issues facing pharmacy and agreed to write to the Secretary of State for Health</w:t>
      </w:r>
      <w:r w:rsidR="00A3175C">
        <w:t>.</w:t>
      </w:r>
      <w:r w:rsidR="00A34102">
        <w:t xml:space="preserve"> </w:t>
      </w:r>
    </w:p>
    <w:p w14:paraId="21738BE3" w14:textId="77777777" w:rsidR="00FA6E84" w:rsidRDefault="00FA6E84" w:rsidP="00900144">
      <w:pPr>
        <w:pStyle w:val="Heading3"/>
      </w:pPr>
    </w:p>
    <w:p w14:paraId="1EB83B52" w14:textId="4C98EFB9" w:rsidR="00D8498F" w:rsidRPr="00831100" w:rsidRDefault="00D8498F" w:rsidP="00831100">
      <w:pPr>
        <w:pStyle w:val="Heading3"/>
        <w:rPr>
          <w:i/>
          <w:iCs/>
        </w:rPr>
      </w:pPr>
      <w:r w:rsidRPr="00CB5F7D">
        <w:t>Pharmacy Applications</w:t>
      </w:r>
    </w:p>
    <w:p w14:paraId="1CC87E53" w14:textId="1C30FDFD" w:rsidR="00D8498F" w:rsidRPr="00122980" w:rsidRDefault="00D8498F" w:rsidP="005E370A">
      <w:pPr>
        <w:jc w:val="both"/>
      </w:pPr>
      <w:r w:rsidRPr="000B56D7">
        <w:t>Where requests for comment were received, the committee continued to provide appropriate responses based upon the views of contractors. Applications during this period included changes of ownership, consolidations</w:t>
      </w:r>
      <w:r>
        <w:t>, no significant change relocations</w:t>
      </w:r>
      <w:r w:rsidR="00995092">
        <w:t>, unforeseen benefit applications</w:t>
      </w:r>
      <w:r w:rsidRPr="000B56D7">
        <w:t xml:space="preserve"> and application</w:t>
      </w:r>
      <w:r w:rsidR="00E8594E">
        <w:t>s</w:t>
      </w:r>
      <w:r w:rsidRPr="000B56D7">
        <w:t xml:space="preserve"> fo</w:t>
      </w:r>
      <w:r w:rsidR="00E8594E">
        <w:t>r</w:t>
      </w:r>
      <w:r w:rsidRPr="000B56D7">
        <w:t xml:space="preserve"> distance selling pharma</w:t>
      </w:r>
      <w:r w:rsidR="00E8594E">
        <w:t>cies</w:t>
      </w:r>
      <w:r w:rsidRPr="000B56D7">
        <w:t>. Community Pharmacy Lincolnshire were also notified of several permanent changes to contractors’ supplementary hours during this period.</w:t>
      </w:r>
    </w:p>
    <w:p w14:paraId="0C60B1B9" w14:textId="77777777" w:rsidR="00FA6E84" w:rsidRDefault="00FA6E84" w:rsidP="00900144">
      <w:pPr>
        <w:pStyle w:val="Heading3"/>
      </w:pPr>
    </w:p>
    <w:p w14:paraId="018FF9CD" w14:textId="446519BF" w:rsidR="00D8498F" w:rsidRPr="00831100" w:rsidRDefault="00D8498F" w:rsidP="00831100">
      <w:pPr>
        <w:pStyle w:val="Heading3"/>
        <w:rPr>
          <w:i/>
          <w:iCs/>
        </w:rPr>
      </w:pPr>
      <w:r w:rsidRPr="00CB5F7D">
        <w:t xml:space="preserve">Pharmacy </w:t>
      </w:r>
      <w:r>
        <w:t>Local</w:t>
      </w:r>
      <w:r w:rsidRPr="00CB5F7D">
        <w:t xml:space="preserve"> Services</w:t>
      </w:r>
    </w:p>
    <w:p w14:paraId="0A54DF86" w14:textId="77777777" w:rsidR="005E419A" w:rsidRDefault="00D8498F" w:rsidP="005E370A">
      <w:pPr>
        <w:jc w:val="both"/>
      </w:pPr>
      <w:r w:rsidRPr="00724448">
        <w:t xml:space="preserve">Community Pharmacy Lincolnshire carried on its work with </w:t>
      </w:r>
      <w:r>
        <w:t>the Lincolnshire Integrated Health System</w:t>
      </w:r>
      <w:r w:rsidRPr="00724448">
        <w:t xml:space="preserve"> to ensure that services continued to be delivered to the standards demanded by community pharmacy contractors for service users</w:t>
      </w:r>
      <w:r>
        <w:t xml:space="preserve">. </w:t>
      </w:r>
    </w:p>
    <w:p w14:paraId="0B6ECE25" w14:textId="15E13CF1" w:rsidR="00D8498F" w:rsidRDefault="00D8498F" w:rsidP="005E370A">
      <w:pPr>
        <w:jc w:val="both"/>
      </w:pPr>
      <w:r>
        <w:t xml:space="preserve">We </w:t>
      </w:r>
      <w:r w:rsidR="00500294">
        <w:t xml:space="preserve">continue to </w:t>
      </w:r>
      <w:r>
        <w:t xml:space="preserve">provide advice and guidance through our various working groups and meetings to ensure that decisions are not made around services and other projects within the ICS that could negatively impact pharmacy contractors in relation to their dispensing income and that any new </w:t>
      </w:r>
      <w:r>
        <w:lastRenderedPageBreak/>
        <w:t>services and initiatives developed provide reasonable notice to contractors of any likely increased demand for medication in an area.</w:t>
      </w:r>
    </w:p>
    <w:p w14:paraId="1EB43DDC" w14:textId="49BB4F19" w:rsidR="00083A80" w:rsidRDefault="00902240" w:rsidP="005E370A">
      <w:pPr>
        <w:jc w:val="both"/>
      </w:pPr>
      <w:r>
        <w:t>We worked closely with Turning Point</w:t>
      </w:r>
      <w:r w:rsidR="00004E5E">
        <w:t xml:space="preserve">, </w:t>
      </w:r>
      <w:r w:rsidR="003F7AB2">
        <w:t xml:space="preserve">who </w:t>
      </w:r>
      <w:r w:rsidR="008D0ACD">
        <w:t xml:space="preserve">took </w:t>
      </w:r>
      <w:r w:rsidR="003F7AB2">
        <w:t>over</w:t>
      </w:r>
      <w:r w:rsidR="00004E5E">
        <w:t xml:space="preserve"> the contract for provision of substance dependency services</w:t>
      </w:r>
      <w:r w:rsidR="004D3AED">
        <w:t xml:space="preserve"> from We Are With You</w:t>
      </w:r>
      <w:r w:rsidR="00004E5E">
        <w:t xml:space="preserve"> from 1</w:t>
      </w:r>
      <w:r w:rsidR="00004E5E" w:rsidRPr="00C33896">
        <w:rPr>
          <w:vertAlign w:val="superscript"/>
        </w:rPr>
        <w:t>st</w:t>
      </w:r>
      <w:r w:rsidR="00004E5E">
        <w:t xml:space="preserve"> April 2024,</w:t>
      </w:r>
      <w:r w:rsidR="004D3AED">
        <w:t xml:space="preserve"> </w:t>
      </w:r>
      <w:r>
        <w:t xml:space="preserve">to develop </w:t>
      </w:r>
      <w:r w:rsidR="00256440">
        <w:t>a new Substance Misuse contract</w:t>
      </w:r>
      <w:r w:rsidR="00F36511">
        <w:t xml:space="preserve"> which is better suited to current working practices</w:t>
      </w:r>
      <w:r w:rsidR="00004E5E">
        <w:t>, workforce</w:t>
      </w:r>
      <w:r w:rsidR="00F36511">
        <w:t xml:space="preserve"> and legislation in pharmacies</w:t>
      </w:r>
      <w:r w:rsidR="00083A80">
        <w:t xml:space="preserve">. The revised contract will </w:t>
      </w:r>
      <w:r w:rsidR="00F36511">
        <w:t>allow</w:t>
      </w:r>
      <w:r w:rsidR="00004E5E">
        <w:t xml:space="preserve"> better use of the skill mix within the</w:t>
      </w:r>
      <w:r w:rsidR="00F36511">
        <w:t xml:space="preserve"> pharmacy team to deliver the service</w:t>
      </w:r>
      <w:r w:rsidR="00004E5E">
        <w:t>,</w:t>
      </w:r>
      <w:r w:rsidR="00256440">
        <w:t xml:space="preserve"> and </w:t>
      </w:r>
      <w:r w:rsidR="00083A80">
        <w:t xml:space="preserve">we CPL have </w:t>
      </w:r>
      <w:r w:rsidR="00256440">
        <w:t xml:space="preserve">negotiated </w:t>
      </w:r>
      <w:r w:rsidR="00004E5E">
        <w:t xml:space="preserve">better funding </w:t>
      </w:r>
      <w:r w:rsidR="00256440">
        <w:t xml:space="preserve">rates for those providing the service. </w:t>
      </w:r>
    </w:p>
    <w:p w14:paraId="36B6B51B" w14:textId="5736BDD1" w:rsidR="00902240" w:rsidRDefault="00C32F29" w:rsidP="005E370A">
      <w:pPr>
        <w:jc w:val="both"/>
      </w:pPr>
      <w:r>
        <w:t xml:space="preserve">We </w:t>
      </w:r>
      <w:r w:rsidR="008D0ACD">
        <w:t>worked</w:t>
      </w:r>
      <w:r>
        <w:t xml:space="preserve"> with L</w:t>
      </w:r>
      <w:r w:rsidR="00DE2793">
        <w:t xml:space="preserve">incolnshire County Council to </w:t>
      </w:r>
      <w:r w:rsidR="00F36511">
        <w:t>develop an Emergency Hormonal Contraception service</w:t>
      </w:r>
      <w:r w:rsidR="00AA7864">
        <w:t xml:space="preserve"> contract</w:t>
      </w:r>
      <w:r w:rsidR="000625CE">
        <w:t xml:space="preserve"> which meets the needs of both commissioners and contractors,</w:t>
      </w:r>
      <w:r w:rsidR="00AA7864">
        <w:t xml:space="preserve"> as we move to pharmacies having a greater role in sexual health following the launch of the National Contraceptive Service.</w:t>
      </w:r>
    </w:p>
    <w:p w14:paraId="34E71C6A" w14:textId="33100A76" w:rsidR="00D8498F" w:rsidRDefault="00D8498F" w:rsidP="005E370A">
      <w:pPr>
        <w:jc w:val="both"/>
      </w:pPr>
      <w:r>
        <w:t xml:space="preserve">CPL accessed non-recurrent funding support </w:t>
      </w:r>
      <w:r w:rsidR="00095738">
        <w:t xml:space="preserve">which enabled us to work with the system to </w:t>
      </w:r>
      <w:r w:rsidR="00A3439B">
        <w:t xml:space="preserve">increase referrals into community pharmacies </w:t>
      </w:r>
      <w:r w:rsidR="00344D4E">
        <w:t xml:space="preserve">and </w:t>
      </w:r>
      <w:r>
        <w:t>extend the contract for our Services Implementation and Development Lead</w:t>
      </w:r>
      <w:r w:rsidR="000625CE">
        <w:t>,</w:t>
      </w:r>
      <w:r w:rsidR="00344D4E">
        <w:t xml:space="preserve"> </w:t>
      </w:r>
      <w:r>
        <w:t>building relationships between community pharmacy, PCNs and GP practices</w:t>
      </w:r>
      <w:r w:rsidR="000625CE">
        <w:t>. More</w:t>
      </w:r>
      <w:r>
        <w:t xml:space="preserve"> recently</w:t>
      </w:r>
      <w:r w:rsidR="000625CE">
        <w:t xml:space="preserve"> this role has </w:t>
      </w:r>
      <w:r>
        <w:t>support</w:t>
      </w:r>
      <w:r w:rsidR="000625CE">
        <w:t>ed</w:t>
      </w:r>
      <w:r>
        <w:t xml:space="preserve"> the roll out of </w:t>
      </w:r>
      <w:r w:rsidR="00EB2EA7">
        <w:t xml:space="preserve">Pharmacy First and </w:t>
      </w:r>
      <w:r>
        <w:t xml:space="preserve">other services such as </w:t>
      </w:r>
      <w:r w:rsidR="000625CE">
        <w:t>the Discharge Medicines Service (DMS),</w:t>
      </w:r>
      <w:r>
        <w:t xml:space="preserve"> </w:t>
      </w:r>
      <w:r w:rsidR="000625CE">
        <w:t>H</w:t>
      </w:r>
      <w:r>
        <w:t xml:space="preserve">ypertension </w:t>
      </w:r>
      <w:r w:rsidR="000625CE">
        <w:t>C</w:t>
      </w:r>
      <w:r>
        <w:t>ase</w:t>
      </w:r>
      <w:r w:rsidR="000625CE">
        <w:t>-</w:t>
      </w:r>
      <w:r>
        <w:t xml:space="preserve">finding and </w:t>
      </w:r>
      <w:r w:rsidR="000625CE">
        <w:t>the Pharmacy Co</w:t>
      </w:r>
      <w:r>
        <w:t>ntracepti</w:t>
      </w:r>
      <w:r w:rsidR="00A15A5A">
        <w:t>on</w:t>
      </w:r>
      <w:r>
        <w:t xml:space="preserve"> </w:t>
      </w:r>
      <w:r w:rsidR="00A15A5A">
        <w:t>S</w:t>
      </w:r>
      <w:r>
        <w:t xml:space="preserve">ervice. </w:t>
      </w:r>
      <w:r w:rsidR="00EB2EA7">
        <w:t>A</w:t>
      </w:r>
      <w:r>
        <w:t xml:space="preserve"> range of resources have been developed and updated to support </w:t>
      </w:r>
      <w:r w:rsidR="00C33896">
        <w:t>Pharmacy First</w:t>
      </w:r>
      <w:r>
        <w:t xml:space="preserve"> that are available on our website.</w:t>
      </w:r>
    </w:p>
    <w:p w14:paraId="2139CB9D" w14:textId="28032A3D" w:rsidR="00D8498F" w:rsidRDefault="00D8498F" w:rsidP="005E370A">
      <w:pPr>
        <w:jc w:val="both"/>
      </w:pPr>
      <w:r>
        <w:t xml:space="preserve">CPL </w:t>
      </w:r>
      <w:r w:rsidR="006C601C">
        <w:t xml:space="preserve">continued to </w:t>
      </w:r>
      <w:r>
        <w:t>wor</w:t>
      </w:r>
      <w:r w:rsidR="006C601C">
        <w:t>k</w:t>
      </w:r>
      <w:r>
        <w:t xml:space="preserve"> </w:t>
      </w:r>
      <w:r w:rsidR="00D06CD4">
        <w:t xml:space="preserve">closely </w:t>
      </w:r>
      <w:r>
        <w:t>with the L</w:t>
      </w:r>
      <w:r w:rsidR="00D06CD4">
        <w:t>ocal Medical Committee (L</w:t>
      </w:r>
      <w:r>
        <w:t>MC</w:t>
      </w:r>
      <w:r w:rsidR="00D06CD4">
        <w:t>)</w:t>
      </w:r>
      <w:r>
        <w:t xml:space="preserve"> </w:t>
      </w:r>
      <w:r w:rsidR="00D06CD4">
        <w:t>to facilitate</w:t>
      </w:r>
      <w:r>
        <w:t xml:space="preserve"> GP practices refer</w:t>
      </w:r>
      <w:r w:rsidR="00D06CD4">
        <w:t>ral of</w:t>
      </w:r>
      <w:r>
        <w:t xml:space="preserve"> patients into the </w:t>
      </w:r>
      <w:r w:rsidR="005C746F">
        <w:t xml:space="preserve">Pharmacy First </w:t>
      </w:r>
      <w:r>
        <w:t>service</w:t>
      </w:r>
      <w:r w:rsidR="005C746F">
        <w:t xml:space="preserve">, this included attending the LMC </w:t>
      </w:r>
      <w:r w:rsidR="004C554C">
        <w:t>practice managers conference where we engaged with a high referring GP practice, who presented the benefits of the service to their colleagues at the event.</w:t>
      </w:r>
    </w:p>
    <w:p w14:paraId="01703093" w14:textId="1ABB8AD4" w:rsidR="0033216F" w:rsidRDefault="0033216F" w:rsidP="007161D4">
      <w:pPr>
        <w:jc w:val="both"/>
      </w:pPr>
      <w:r>
        <w:t>Our Chief Officer attended the launch of the NHS Armed Forces Covenant in Ju</w:t>
      </w:r>
      <w:r w:rsidR="00B82019">
        <w:t>ne 2024</w:t>
      </w:r>
      <w:r w:rsidR="00D90147">
        <w:t xml:space="preserve">, where she promoted the services that forces members and families can benefit from at their local pharmacies. She also attended </w:t>
      </w:r>
      <w:r w:rsidR="00614510">
        <w:t>Healthwatch and ICS events, to further build relationships and promote local pharmacy services.</w:t>
      </w:r>
    </w:p>
    <w:p w14:paraId="11C10EB0" w14:textId="3F00169C" w:rsidR="00D8498F" w:rsidRDefault="00D8498F" w:rsidP="007161D4">
      <w:pPr>
        <w:jc w:val="both"/>
      </w:pPr>
      <w:r>
        <w:lastRenderedPageBreak/>
        <w:t>We will continue to work with regional and local colleagues, including the LMC, ICS and PCN representative</w:t>
      </w:r>
      <w:r w:rsidR="0033216F">
        <w:t>s</w:t>
      </w:r>
      <w:r>
        <w:t>, to ensure service income for community pharmacies is maximised.</w:t>
      </w:r>
    </w:p>
    <w:p w14:paraId="365D278A" w14:textId="77777777" w:rsidR="00D8498F" w:rsidRPr="00BD0260" w:rsidRDefault="00D8498F" w:rsidP="005E370A">
      <w:pPr>
        <w:jc w:val="both"/>
      </w:pPr>
    </w:p>
    <w:p w14:paraId="347061C5" w14:textId="77777777" w:rsidR="00FA6E84" w:rsidRDefault="00FA6E84" w:rsidP="00983AE5">
      <w:pPr>
        <w:pStyle w:val="Heading3"/>
      </w:pPr>
    </w:p>
    <w:p w14:paraId="7FC2FBD5" w14:textId="6BB5245C" w:rsidR="00D8498F" w:rsidRPr="00831100" w:rsidRDefault="00D8498F" w:rsidP="00831100">
      <w:pPr>
        <w:pStyle w:val="Heading3"/>
      </w:pPr>
      <w:r>
        <w:t>Pharmaceutical Needs Assessment</w:t>
      </w:r>
      <w:r w:rsidR="00FA1BDA">
        <w:t xml:space="preserve"> </w:t>
      </w:r>
      <w:r>
        <w:t>(PNA) 202</w:t>
      </w:r>
      <w:r w:rsidR="0003227F">
        <w:t>5</w:t>
      </w:r>
    </w:p>
    <w:p w14:paraId="76440599" w14:textId="6DCA3A09" w:rsidR="00D8498F" w:rsidRDefault="00D8498F" w:rsidP="005E370A">
      <w:pPr>
        <w:jc w:val="both"/>
      </w:pPr>
      <w:r w:rsidRPr="00C33896">
        <w:t xml:space="preserve">The Pharmaceutical Needs Assessment (PNA) is a crucial part of the </w:t>
      </w:r>
      <w:r w:rsidR="00AD26C1" w:rsidRPr="00C33896">
        <w:t xml:space="preserve">approach to </w:t>
      </w:r>
      <w:r w:rsidRPr="00C33896">
        <w:t xml:space="preserve">market entry </w:t>
      </w:r>
      <w:r w:rsidR="00AD26C1" w:rsidRPr="00C33896">
        <w:t>for pharmacy contractors</w:t>
      </w:r>
      <w:r w:rsidRPr="00C33896">
        <w:t>, and supports commissioning decisions based on patient needs</w:t>
      </w:r>
      <w:r w:rsidR="00AD26C1" w:rsidRPr="00C33896">
        <w:t>. It</w:t>
      </w:r>
      <w:r w:rsidRPr="00C33896">
        <w:t xml:space="preserve"> is important that Health and Wellbeing Boards (HWBs) prepare PNAs to national comparable standards.</w:t>
      </w:r>
    </w:p>
    <w:p w14:paraId="6B25E243" w14:textId="4D279592" w:rsidR="00AD26C1" w:rsidRDefault="0003227F" w:rsidP="005E370A">
      <w:pPr>
        <w:jc w:val="both"/>
      </w:pPr>
      <w:r>
        <w:t xml:space="preserve">The LPC </w:t>
      </w:r>
      <w:r w:rsidR="00DA3A09">
        <w:t xml:space="preserve">supported the process, working as part of the steering group for the </w:t>
      </w:r>
      <w:r w:rsidR="00D2129F">
        <w:t>PNA with other health system representatives.</w:t>
      </w:r>
      <w:r w:rsidR="00080DD4">
        <w:t>.</w:t>
      </w:r>
    </w:p>
    <w:p w14:paraId="2A97BC17" w14:textId="77777777" w:rsidR="00D8498F" w:rsidRDefault="00D8498F" w:rsidP="005E370A">
      <w:pPr>
        <w:jc w:val="both"/>
        <w:rPr>
          <w:rFonts w:asciiTheme="majorHAnsi" w:eastAsiaTheme="majorEastAsia" w:hAnsiTheme="majorHAnsi" w:cstheme="majorBidi"/>
          <w:color w:val="EA3C00" w:themeColor="accent1" w:themeShade="BF"/>
          <w:sz w:val="28"/>
          <w:szCs w:val="28"/>
        </w:rPr>
      </w:pPr>
    </w:p>
    <w:p w14:paraId="1A177B6D" w14:textId="77777777" w:rsidR="00D8498F" w:rsidRDefault="00D8498F" w:rsidP="005E370A">
      <w:pPr>
        <w:jc w:val="both"/>
        <w:rPr>
          <w:rFonts w:asciiTheme="majorHAnsi" w:eastAsiaTheme="majorEastAsia" w:hAnsiTheme="majorHAnsi" w:cstheme="majorBidi"/>
          <w:color w:val="EA3C00" w:themeColor="accent1" w:themeShade="BF"/>
          <w:sz w:val="28"/>
          <w:szCs w:val="28"/>
        </w:rPr>
      </w:pPr>
      <w:r>
        <w:br w:type="page"/>
      </w:r>
    </w:p>
    <w:p w14:paraId="11E6B980" w14:textId="6BDB46AD" w:rsidR="00D8498F" w:rsidRPr="00E37413" w:rsidRDefault="00D8498F" w:rsidP="005E370A">
      <w:pPr>
        <w:pStyle w:val="Heading1"/>
        <w:jc w:val="both"/>
      </w:pPr>
      <w:r w:rsidRPr="00E37413">
        <w:lastRenderedPageBreak/>
        <w:t>SUMMARY</w:t>
      </w:r>
      <w:r w:rsidR="009331EB">
        <w:t>, STRATEGIC PLAN</w:t>
      </w:r>
      <w:r w:rsidRPr="00E37413">
        <w:t xml:space="preserve"> AND WORK PLAN FOR 202</w:t>
      </w:r>
      <w:r w:rsidR="008E7132">
        <w:t>5</w:t>
      </w:r>
      <w:r w:rsidR="00EC38B1" w:rsidRPr="00E37413">
        <w:t>/2</w:t>
      </w:r>
      <w:r w:rsidR="008E7132">
        <w:t>6</w:t>
      </w:r>
    </w:p>
    <w:p w14:paraId="5B67201E" w14:textId="77777777" w:rsidR="00D8498F" w:rsidRPr="002A2C1B" w:rsidRDefault="00D8498F" w:rsidP="007161D4">
      <w:pPr>
        <w:pStyle w:val="Title"/>
        <w:jc w:val="both"/>
        <w:rPr>
          <w:rFonts w:ascii="Arial" w:hAnsi="Arial" w:cs="Arial"/>
          <w:bCs w:val="0"/>
          <w:sz w:val="22"/>
          <w:u w:val="single"/>
        </w:rPr>
      </w:pPr>
    </w:p>
    <w:p w14:paraId="159E69F1" w14:textId="77777777" w:rsidR="00792FD1" w:rsidRPr="008D04DA" w:rsidRDefault="00792FD1" w:rsidP="00792FD1">
      <w:pPr>
        <w:spacing w:before="0" w:line="278" w:lineRule="auto"/>
        <w:rPr>
          <w:rFonts w:asciiTheme="majorHAnsi" w:hAnsiTheme="majorHAnsi" w:cstheme="majorHAnsi"/>
          <w:b/>
          <w:bCs/>
          <w:color w:val="FF6D3A" w:themeColor="accent1"/>
          <w:sz w:val="24"/>
          <w:szCs w:val="24"/>
        </w:rPr>
      </w:pPr>
      <w:r w:rsidRPr="005E370A">
        <w:rPr>
          <w:rFonts w:asciiTheme="majorHAnsi" w:hAnsiTheme="majorHAnsi" w:cstheme="majorHAnsi"/>
          <w:b/>
          <w:bCs/>
          <w:color w:val="FF6D3A" w:themeColor="accent1"/>
          <w:sz w:val="24"/>
          <w:szCs w:val="24"/>
        </w:rPr>
        <w:t>Strategic P</w:t>
      </w:r>
      <w:r>
        <w:rPr>
          <w:rFonts w:asciiTheme="majorHAnsi" w:hAnsiTheme="majorHAnsi" w:cstheme="majorHAnsi"/>
          <w:b/>
          <w:bCs/>
          <w:color w:val="FF6D3A" w:themeColor="accent1"/>
          <w:sz w:val="24"/>
          <w:szCs w:val="24"/>
        </w:rPr>
        <w:t>riorities</w:t>
      </w:r>
    </w:p>
    <w:p w14:paraId="79530396" w14:textId="77777777" w:rsidR="00792FD1" w:rsidRPr="00883DBA" w:rsidRDefault="00792FD1" w:rsidP="00792FD1">
      <w:pPr>
        <w:spacing w:before="0" w:line="278" w:lineRule="auto"/>
      </w:pPr>
      <w:r w:rsidRPr="00883DBA">
        <w:t>Our Strategic Priorities for the coming year are as follows</w:t>
      </w:r>
    </w:p>
    <w:p w14:paraId="00BD84D0" w14:textId="77777777" w:rsidR="00792FD1" w:rsidRPr="009F02EC" w:rsidRDefault="00792FD1" w:rsidP="00792FD1">
      <w:pPr>
        <w:rPr>
          <w:b/>
          <w:bCs/>
        </w:rPr>
      </w:pPr>
      <w:r w:rsidRPr="009F02EC">
        <w:rPr>
          <w:b/>
          <w:bCs/>
        </w:rPr>
        <w:t>1. Increase Patient Use of Pharmacy Services through Collaboration, Promotion, and Awareness</w:t>
      </w:r>
    </w:p>
    <w:p w14:paraId="019CC1A9" w14:textId="77777777" w:rsidR="00792FD1" w:rsidRPr="009F02EC" w:rsidRDefault="00792FD1" w:rsidP="00792FD1">
      <w:pPr>
        <w:numPr>
          <w:ilvl w:val="0"/>
          <w:numId w:val="26"/>
        </w:numPr>
        <w:spacing w:before="0" w:line="278" w:lineRule="auto"/>
      </w:pPr>
      <w:r w:rsidRPr="009F02EC">
        <w:rPr>
          <w:b/>
          <w:bCs/>
        </w:rPr>
        <w:t>Objective:</w:t>
      </w:r>
      <w:r w:rsidRPr="009F02EC">
        <w:br/>
        <w:t>Work with key contacts in the health system and local stakeholders to increase patient use of pharmacy services through joint promotion, awareness efforts, and showcasing the impact of pharmacy services on patient care and health outcomes.</w:t>
      </w:r>
    </w:p>
    <w:p w14:paraId="75BE164E" w14:textId="77777777" w:rsidR="00792FD1" w:rsidRPr="009F02EC" w:rsidRDefault="00792FD1" w:rsidP="00792FD1">
      <w:pPr>
        <w:numPr>
          <w:ilvl w:val="0"/>
          <w:numId w:val="26"/>
        </w:numPr>
        <w:spacing w:before="0" w:line="278" w:lineRule="auto"/>
      </w:pPr>
      <w:r w:rsidRPr="009F02EC">
        <w:rPr>
          <w:b/>
          <w:bCs/>
        </w:rPr>
        <w:t>Action:</w:t>
      </w:r>
      <w:r w:rsidRPr="009F02EC">
        <w:t xml:space="preserve"> </w:t>
      </w:r>
    </w:p>
    <w:p w14:paraId="186AB698" w14:textId="77777777" w:rsidR="00792FD1" w:rsidRPr="009F02EC" w:rsidRDefault="00792FD1" w:rsidP="00792FD1">
      <w:pPr>
        <w:numPr>
          <w:ilvl w:val="1"/>
          <w:numId w:val="26"/>
        </w:numPr>
        <w:spacing w:before="0" w:line="278" w:lineRule="auto"/>
        <w:ind w:left="1434" w:hanging="357"/>
        <w:contextualSpacing/>
      </w:pPr>
      <w:r w:rsidRPr="009F02EC">
        <w:t>Develop and distribute promotional materials (e.g., brochures, social media content) in collaboration with ICS, Healthwatch, and other key stakeholders.</w:t>
      </w:r>
    </w:p>
    <w:p w14:paraId="50EBA0F0" w14:textId="77777777" w:rsidR="00792FD1" w:rsidRPr="009F02EC" w:rsidRDefault="00792FD1" w:rsidP="00792FD1">
      <w:pPr>
        <w:numPr>
          <w:ilvl w:val="1"/>
          <w:numId w:val="26"/>
        </w:numPr>
        <w:spacing w:before="0" w:line="278" w:lineRule="auto"/>
        <w:ind w:left="1434" w:hanging="357"/>
        <w:contextualSpacing/>
      </w:pPr>
      <w:r w:rsidRPr="009F02EC">
        <w:t>Promote the range of services available through pharmacies to inform and encourage patients to use these services.</w:t>
      </w:r>
    </w:p>
    <w:p w14:paraId="7A89E81B" w14:textId="77777777" w:rsidR="00792FD1" w:rsidRPr="009F02EC" w:rsidRDefault="00792FD1" w:rsidP="00792FD1">
      <w:pPr>
        <w:numPr>
          <w:ilvl w:val="1"/>
          <w:numId w:val="26"/>
        </w:numPr>
        <w:spacing w:before="0" w:line="278" w:lineRule="auto"/>
        <w:ind w:left="1434" w:hanging="357"/>
        <w:contextualSpacing/>
      </w:pPr>
      <w:r w:rsidRPr="009F02EC">
        <w:t>Work with local stakeholders to raise awareness of pharmacy services through communication channels</w:t>
      </w:r>
      <w:r>
        <w:t xml:space="preserve"> and to increase inward referrals from other health system partners.</w:t>
      </w:r>
    </w:p>
    <w:p w14:paraId="179A5A9B" w14:textId="77777777" w:rsidR="00792FD1" w:rsidRDefault="00792FD1" w:rsidP="00792FD1">
      <w:pPr>
        <w:numPr>
          <w:ilvl w:val="1"/>
          <w:numId w:val="26"/>
        </w:numPr>
        <w:spacing w:before="0" w:line="278" w:lineRule="auto"/>
        <w:ind w:left="1434" w:hanging="357"/>
        <w:contextualSpacing/>
      </w:pPr>
      <w:r w:rsidRPr="009F02EC">
        <w:t>Showcase real-life stories and data that demonstrate the positive impact of pharmacy services on health outcomes.</w:t>
      </w:r>
    </w:p>
    <w:p w14:paraId="1792BD75" w14:textId="77777777" w:rsidR="00792FD1" w:rsidRPr="009F02EC" w:rsidRDefault="00792FD1" w:rsidP="00792FD1">
      <w:pPr>
        <w:spacing w:before="0" w:line="278" w:lineRule="auto"/>
        <w:ind w:left="1434"/>
        <w:contextualSpacing/>
      </w:pPr>
    </w:p>
    <w:p w14:paraId="737B007A" w14:textId="77777777" w:rsidR="00792FD1" w:rsidRDefault="00792FD1" w:rsidP="00792FD1">
      <w:pPr>
        <w:numPr>
          <w:ilvl w:val="0"/>
          <w:numId w:val="26"/>
        </w:numPr>
        <w:spacing w:before="0" w:line="278" w:lineRule="auto"/>
      </w:pPr>
      <w:r w:rsidRPr="009F02EC">
        <w:rPr>
          <w:b/>
          <w:bCs/>
        </w:rPr>
        <w:t>Benefit to Contractors:</w:t>
      </w:r>
      <w:r w:rsidRPr="009F02EC">
        <w:br/>
        <w:t>Increased promotion and awareness will lead to higher patient usage of pharmacy services, creating business growth opportunities, improving patient satisfaction, and fostering long-term patient loyalty. It will also raise public awareness of pharmacies’ critical role in healthcare, enhancing the professional reputation of pharmacy contractors and driving more patient engagement.</w:t>
      </w:r>
    </w:p>
    <w:p w14:paraId="50CE3364" w14:textId="77777777" w:rsidR="00792FD1" w:rsidRPr="009F02EC" w:rsidRDefault="00792FD1" w:rsidP="00792FD1">
      <w:pPr>
        <w:spacing w:before="0" w:line="278" w:lineRule="auto"/>
        <w:ind w:left="720"/>
      </w:pPr>
    </w:p>
    <w:p w14:paraId="535122E4" w14:textId="77777777" w:rsidR="00D86978" w:rsidRDefault="00D86978">
      <w:pPr>
        <w:spacing w:before="0" w:after="0" w:line="240" w:lineRule="auto"/>
        <w:rPr>
          <w:b/>
          <w:bCs/>
        </w:rPr>
      </w:pPr>
      <w:r>
        <w:rPr>
          <w:b/>
          <w:bCs/>
        </w:rPr>
        <w:br w:type="page"/>
      </w:r>
    </w:p>
    <w:p w14:paraId="119672E6" w14:textId="0EE3C6DF" w:rsidR="00792FD1" w:rsidRPr="009F02EC" w:rsidRDefault="00792FD1" w:rsidP="00792FD1">
      <w:pPr>
        <w:rPr>
          <w:b/>
          <w:bCs/>
        </w:rPr>
      </w:pPr>
      <w:r w:rsidRPr="009F02EC">
        <w:rPr>
          <w:b/>
          <w:bCs/>
        </w:rPr>
        <w:lastRenderedPageBreak/>
        <w:t>2. Direct Support for Contractors</w:t>
      </w:r>
    </w:p>
    <w:p w14:paraId="53C2A6CA" w14:textId="77777777" w:rsidR="00792FD1" w:rsidRPr="009F02EC" w:rsidRDefault="00792FD1" w:rsidP="00792FD1">
      <w:pPr>
        <w:numPr>
          <w:ilvl w:val="0"/>
          <w:numId w:val="27"/>
        </w:numPr>
        <w:spacing w:before="0" w:line="278" w:lineRule="auto"/>
      </w:pPr>
      <w:r w:rsidRPr="009F02EC">
        <w:rPr>
          <w:b/>
          <w:bCs/>
        </w:rPr>
        <w:t>Objective:</w:t>
      </w:r>
      <w:r w:rsidRPr="009F02EC">
        <w:br/>
        <w:t>Provide advice and support to pharmacy contractors regarding NHS matters, operational challenges, and resolving any complaints between contractors concerning performance or service efficiency.</w:t>
      </w:r>
    </w:p>
    <w:p w14:paraId="6D8566ED" w14:textId="77777777" w:rsidR="00792FD1" w:rsidRPr="009F02EC" w:rsidRDefault="00792FD1" w:rsidP="00792FD1">
      <w:pPr>
        <w:numPr>
          <w:ilvl w:val="0"/>
          <w:numId w:val="27"/>
        </w:numPr>
        <w:spacing w:before="0" w:line="278" w:lineRule="auto"/>
      </w:pPr>
      <w:r w:rsidRPr="009F02EC">
        <w:rPr>
          <w:b/>
          <w:bCs/>
        </w:rPr>
        <w:t>Action:</w:t>
      </w:r>
      <w:r w:rsidRPr="009F02EC">
        <w:t xml:space="preserve"> </w:t>
      </w:r>
    </w:p>
    <w:p w14:paraId="31CA803E" w14:textId="77777777" w:rsidR="00792FD1" w:rsidRPr="009F02EC" w:rsidRDefault="00792FD1" w:rsidP="00792FD1">
      <w:pPr>
        <w:numPr>
          <w:ilvl w:val="1"/>
          <w:numId w:val="27"/>
        </w:numPr>
        <w:spacing w:before="0" w:line="278" w:lineRule="auto"/>
        <w:ind w:left="1434" w:hanging="357"/>
        <w:contextualSpacing/>
      </w:pPr>
      <w:r w:rsidRPr="009F02EC">
        <w:t>Offer expert guidance on navigating NHS processes and any issues that arise in daily pharmacy operations.</w:t>
      </w:r>
    </w:p>
    <w:p w14:paraId="40A6A4F6" w14:textId="77777777" w:rsidR="00792FD1" w:rsidRPr="009F02EC" w:rsidRDefault="00792FD1" w:rsidP="00792FD1">
      <w:pPr>
        <w:numPr>
          <w:ilvl w:val="1"/>
          <w:numId w:val="27"/>
        </w:numPr>
        <w:spacing w:before="0" w:line="278" w:lineRule="auto"/>
        <w:ind w:left="1434" w:hanging="357"/>
        <w:contextualSpacing/>
      </w:pPr>
      <w:r w:rsidRPr="009F02EC">
        <w:t>Provide support to deliver services, including</w:t>
      </w:r>
      <w:r>
        <w:t xml:space="preserve"> information sharing, </w:t>
      </w:r>
      <w:r w:rsidRPr="009F02EC">
        <w:t xml:space="preserve"> signposting, resources development, and operational assistance.</w:t>
      </w:r>
    </w:p>
    <w:p w14:paraId="5413546C" w14:textId="77777777" w:rsidR="00792FD1" w:rsidRDefault="00792FD1" w:rsidP="00792FD1">
      <w:pPr>
        <w:numPr>
          <w:ilvl w:val="1"/>
          <w:numId w:val="27"/>
        </w:numPr>
        <w:spacing w:before="0" w:line="278" w:lineRule="auto"/>
        <w:ind w:left="1434" w:hanging="357"/>
        <w:contextualSpacing/>
      </w:pPr>
      <w:r w:rsidRPr="009F02EC">
        <w:t>Resolve complaints efficiently and fairly, ensuring that contractors can address any issues or concerns promptly and professionally.</w:t>
      </w:r>
    </w:p>
    <w:p w14:paraId="049A9206" w14:textId="77777777" w:rsidR="00792FD1" w:rsidRPr="009F02EC" w:rsidRDefault="00792FD1" w:rsidP="00792FD1">
      <w:pPr>
        <w:spacing w:before="0" w:line="278" w:lineRule="auto"/>
        <w:ind w:left="1434"/>
        <w:contextualSpacing/>
      </w:pPr>
    </w:p>
    <w:p w14:paraId="38E09B0A" w14:textId="77777777" w:rsidR="00792FD1" w:rsidRDefault="00792FD1" w:rsidP="00792FD1">
      <w:pPr>
        <w:numPr>
          <w:ilvl w:val="0"/>
          <w:numId w:val="27"/>
        </w:numPr>
        <w:spacing w:before="0" w:line="278" w:lineRule="auto"/>
      </w:pPr>
      <w:r w:rsidRPr="009F02EC">
        <w:rPr>
          <w:b/>
          <w:bCs/>
        </w:rPr>
        <w:t>Benefit to Contractors:</w:t>
      </w:r>
      <w:r w:rsidRPr="009F02EC">
        <w:br/>
        <w:t>Access to expert advice and tools for service delivery supports contractors in managing their businesses more efficiently and effectively, ensuring better service provision and business growth. A fair and transparent complaint resolution process fosters a collaborative and professional environment within the pharmacy sector, maintaining the integrity of contractors’ operations.</w:t>
      </w:r>
    </w:p>
    <w:p w14:paraId="1BA8A494" w14:textId="77777777" w:rsidR="00792FD1" w:rsidRPr="009F02EC" w:rsidRDefault="00792FD1" w:rsidP="00792FD1">
      <w:pPr>
        <w:spacing w:before="0" w:line="278" w:lineRule="auto"/>
        <w:ind w:left="720"/>
      </w:pPr>
    </w:p>
    <w:p w14:paraId="2FBE825B" w14:textId="77777777" w:rsidR="00792FD1" w:rsidRPr="009F02EC" w:rsidRDefault="00792FD1" w:rsidP="00792FD1">
      <w:pPr>
        <w:rPr>
          <w:b/>
          <w:bCs/>
        </w:rPr>
      </w:pPr>
      <w:r w:rsidRPr="009F02EC">
        <w:rPr>
          <w:b/>
          <w:bCs/>
        </w:rPr>
        <w:t>3. Strengthened Relationships with Commissioners, Healthcare Bodies, National Health Authorities, and NHS Service Commissioning</w:t>
      </w:r>
    </w:p>
    <w:p w14:paraId="3A9BA690" w14:textId="77777777" w:rsidR="00792FD1" w:rsidRPr="009F02EC" w:rsidRDefault="00792FD1" w:rsidP="00792FD1">
      <w:pPr>
        <w:numPr>
          <w:ilvl w:val="0"/>
          <w:numId w:val="28"/>
        </w:numPr>
        <w:spacing w:before="0" w:line="278" w:lineRule="auto"/>
      </w:pPr>
      <w:r w:rsidRPr="009F02EC">
        <w:rPr>
          <w:b/>
          <w:bCs/>
        </w:rPr>
        <w:t>Objective:</w:t>
      </w:r>
      <w:r w:rsidRPr="009F02EC">
        <w:br/>
        <w:t>Continue developing effective working relationships with commissioners, healthcare bodies, national health authorities, and ensure transparency in NHS service commissioning to advocate for the needs of pharmacy contractors and integrate pharmacy services into national health strategies.</w:t>
      </w:r>
    </w:p>
    <w:p w14:paraId="0051C36C" w14:textId="77777777" w:rsidR="00792FD1" w:rsidRPr="009F02EC" w:rsidRDefault="00792FD1" w:rsidP="00792FD1">
      <w:pPr>
        <w:numPr>
          <w:ilvl w:val="0"/>
          <w:numId w:val="28"/>
        </w:numPr>
        <w:spacing w:before="0" w:line="278" w:lineRule="auto"/>
      </w:pPr>
      <w:r w:rsidRPr="009F02EC">
        <w:rPr>
          <w:b/>
          <w:bCs/>
        </w:rPr>
        <w:t>Action:</w:t>
      </w:r>
      <w:r w:rsidRPr="009F02EC">
        <w:t xml:space="preserve"> </w:t>
      </w:r>
    </w:p>
    <w:p w14:paraId="5BC2C94B" w14:textId="77777777" w:rsidR="00792FD1" w:rsidRDefault="00792FD1" w:rsidP="00792FD1">
      <w:pPr>
        <w:numPr>
          <w:ilvl w:val="1"/>
          <w:numId w:val="28"/>
        </w:numPr>
        <w:spacing w:before="0" w:line="278" w:lineRule="auto"/>
        <w:ind w:left="1434" w:hanging="357"/>
        <w:contextualSpacing/>
      </w:pPr>
      <w:r>
        <w:t>Ensuring representation for community pharmacy on key strategic committees and forums in relation to clinical and commissioning decision making.</w:t>
      </w:r>
    </w:p>
    <w:p w14:paraId="5AB131E4" w14:textId="77777777" w:rsidR="00792FD1" w:rsidRPr="009F02EC" w:rsidRDefault="00792FD1" w:rsidP="00792FD1">
      <w:pPr>
        <w:numPr>
          <w:ilvl w:val="1"/>
          <w:numId w:val="28"/>
        </w:numPr>
        <w:spacing w:before="0" w:line="278" w:lineRule="auto"/>
        <w:ind w:left="1434" w:hanging="357"/>
        <w:contextualSpacing/>
      </w:pPr>
      <w:r w:rsidRPr="009F02EC">
        <w:lastRenderedPageBreak/>
        <w:t>Engage in open dialogues with local NHS commissioners and health authorities to discuss community pharmacy roles in public health and service delivery.</w:t>
      </w:r>
    </w:p>
    <w:p w14:paraId="5AD3D26A" w14:textId="77777777" w:rsidR="00792FD1" w:rsidRPr="009F02EC" w:rsidRDefault="00792FD1" w:rsidP="00792FD1">
      <w:pPr>
        <w:numPr>
          <w:ilvl w:val="1"/>
          <w:numId w:val="28"/>
        </w:numPr>
        <w:spacing w:before="0" w:line="278" w:lineRule="auto"/>
        <w:ind w:left="1434" w:hanging="357"/>
        <w:contextualSpacing/>
      </w:pPr>
      <w:r w:rsidRPr="009F02EC">
        <w:t>Identify and explore areas for increased pharmacy involvement in local health initiatives and address service gaps.</w:t>
      </w:r>
    </w:p>
    <w:p w14:paraId="0B3C1D81" w14:textId="77777777" w:rsidR="00792FD1" w:rsidRPr="009F02EC" w:rsidRDefault="00792FD1" w:rsidP="00792FD1">
      <w:pPr>
        <w:numPr>
          <w:ilvl w:val="1"/>
          <w:numId w:val="28"/>
        </w:numPr>
        <w:spacing w:before="0" w:line="278" w:lineRule="auto"/>
        <w:ind w:left="1434" w:hanging="357"/>
        <w:contextualSpacing/>
      </w:pPr>
      <w:r w:rsidRPr="009F02EC">
        <w:t>Participate in national consultations, attend regional and national working groups to influence policy decisions, and align with Community Pharmacy England responses, including locally relevant information.</w:t>
      </w:r>
    </w:p>
    <w:p w14:paraId="1C448E0B" w14:textId="77777777" w:rsidR="00792FD1" w:rsidRDefault="00792FD1" w:rsidP="00792FD1">
      <w:pPr>
        <w:numPr>
          <w:ilvl w:val="1"/>
          <w:numId w:val="28"/>
        </w:numPr>
        <w:spacing w:before="0" w:line="278" w:lineRule="auto"/>
        <w:ind w:left="1434" w:hanging="357"/>
        <w:contextualSpacing/>
      </w:pPr>
      <w:r w:rsidRPr="009F02EC">
        <w:t>Advocate for fair processes in the local commissioning of NHS services, ensuring all contractors have access to equal opportunities.</w:t>
      </w:r>
    </w:p>
    <w:p w14:paraId="0D0A0DF9" w14:textId="77777777" w:rsidR="00792FD1" w:rsidRDefault="00792FD1" w:rsidP="00792FD1">
      <w:pPr>
        <w:numPr>
          <w:ilvl w:val="1"/>
          <w:numId w:val="28"/>
        </w:numPr>
        <w:spacing w:before="0" w:line="278" w:lineRule="auto"/>
        <w:ind w:left="1434" w:hanging="357"/>
        <w:contextualSpacing/>
      </w:pPr>
      <w:r>
        <w:t xml:space="preserve">Attending forums around prescribing and drug choice. </w:t>
      </w:r>
    </w:p>
    <w:p w14:paraId="55C6B1FE" w14:textId="77777777" w:rsidR="00792FD1" w:rsidRPr="009F02EC" w:rsidRDefault="00792FD1" w:rsidP="00792FD1">
      <w:pPr>
        <w:spacing w:before="0" w:line="278" w:lineRule="auto"/>
        <w:ind w:left="1434"/>
        <w:contextualSpacing/>
      </w:pPr>
    </w:p>
    <w:p w14:paraId="42A74161" w14:textId="77777777" w:rsidR="00792FD1" w:rsidRDefault="00792FD1" w:rsidP="00792FD1">
      <w:pPr>
        <w:numPr>
          <w:ilvl w:val="0"/>
          <w:numId w:val="28"/>
        </w:numPr>
        <w:spacing w:before="0" w:line="278" w:lineRule="auto"/>
      </w:pPr>
      <w:r w:rsidRPr="009F02EC">
        <w:rPr>
          <w:b/>
          <w:bCs/>
        </w:rPr>
        <w:t>Benefit to Contractors:</w:t>
      </w:r>
      <w:r w:rsidRPr="009F02EC">
        <w:br/>
        <w:t>Building strong connections with healthcare bodies ensures fair treatment, necessary resources, and opportunities for service expansion, ultimately maximi</w:t>
      </w:r>
      <w:r>
        <w:t>s</w:t>
      </w:r>
      <w:r w:rsidRPr="009F02EC">
        <w:t>ing income opportunities for contractors and enhancing the sector’s reputation. Ensuring transparency in NHS service commissioning helps pharmacy contractors gain equal access to NHS services and funding, fostering business stability and growth.</w:t>
      </w:r>
      <w:r>
        <w:t xml:space="preserve"> Involvement in drug related decision making ensures that the voice of community pharmacy is heard and the impact of decisions is considered.</w:t>
      </w:r>
    </w:p>
    <w:p w14:paraId="2583F37E" w14:textId="77777777" w:rsidR="00792FD1" w:rsidRPr="009F02EC" w:rsidRDefault="00792FD1" w:rsidP="00792FD1">
      <w:pPr>
        <w:spacing w:before="0" w:line="278" w:lineRule="auto"/>
        <w:ind w:left="720"/>
      </w:pPr>
    </w:p>
    <w:p w14:paraId="5220E6AA" w14:textId="77777777" w:rsidR="00792FD1" w:rsidRPr="009F02EC" w:rsidRDefault="00792FD1" w:rsidP="00792FD1">
      <w:pPr>
        <w:rPr>
          <w:b/>
          <w:bCs/>
        </w:rPr>
      </w:pPr>
      <w:r w:rsidRPr="009F02EC">
        <w:rPr>
          <w:b/>
          <w:bCs/>
        </w:rPr>
        <w:t>4. Strengthened Relationships with MPs and Local Government Representatives</w:t>
      </w:r>
    </w:p>
    <w:p w14:paraId="533DE2F2" w14:textId="77777777" w:rsidR="00792FD1" w:rsidRPr="009F02EC" w:rsidRDefault="00792FD1" w:rsidP="00792FD1">
      <w:pPr>
        <w:numPr>
          <w:ilvl w:val="0"/>
          <w:numId w:val="29"/>
        </w:numPr>
        <w:spacing w:before="0" w:line="278" w:lineRule="auto"/>
      </w:pPr>
      <w:r w:rsidRPr="009F02EC">
        <w:rPr>
          <w:b/>
          <w:bCs/>
        </w:rPr>
        <w:t>Objective:</w:t>
      </w:r>
      <w:r w:rsidRPr="009F02EC">
        <w:br/>
        <w:t>Strengthen relationships with MPs and local government bodies to advocate for increased funding and policy support for community pharmacy services.</w:t>
      </w:r>
    </w:p>
    <w:p w14:paraId="083839EE" w14:textId="77777777" w:rsidR="00792FD1" w:rsidRPr="009F02EC" w:rsidRDefault="00792FD1" w:rsidP="00792FD1">
      <w:pPr>
        <w:numPr>
          <w:ilvl w:val="0"/>
          <w:numId w:val="29"/>
        </w:numPr>
        <w:spacing w:before="0" w:line="278" w:lineRule="auto"/>
      </w:pPr>
      <w:r w:rsidRPr="009F02EC">
        <w:rPr>
          <w:b/>
          <w:bCs/>
        </w:rPr>
        <w:t>Action:</w:t>
      </w:r>
      <w:r w:rsidRPr="009F02EC">
        <w:t xml:space="preserve"> </w:t>
      </w:r>
    </w:p>
    <w:p w14:paraId="70131508" w14:textId="77777777" w:rsidR="00792FD1" w:rsidRPr="009F02EC" w:rsidRDefault="00792FD1" w:rsidP="00792FD1">
      <w:pPr>
        <w:numPr>
          <w:ilvl w:val="1"/>
          <w:numId w:val="29"/>
        </w:numPr>
        <w:spacing w:before="0" w:line="278" w:lineRule="auto"/>
        <w:ind w:left="1434" w:hanging="357"/>
        <w:contextualSpacing/>
      </w:pPr>
      <w:r w:rsidRPr="009F02EC">
        <w:t>Continue regular correspondence with MPs and local government representatives to highlight the role of pharmacies in healthcare.</w:t>
      </w:r>
    </w:p>
    <w:p w14:paraId="271ACF3D" w14:textId="77777777" w:rsidR="00792FD1" w:rsidRDefault="00792FD1" w:rsidP="00792FD1">
      <w:pPr>
        <w:numPr>
          <w:ilvl w:val="1"/>
          <w:numId w:val="29"/>
        </w:numPr>
        <w:spacing w:before="0" w:line="278" w:lineRule="auto"/>
        <w:ind w:left="1434" w:hanging="357"/>
        <w:contextualSpacing/>
      </w:pPr>
      <w:r w:rsidRPr="009F02EC">
        <w:t>Advocate for expanded funding and legislative support for pharmacy services at both local and national levels.</w:t>
      </w:r>
    </w:p>
    <w:p w14:paraId="4A8D3066" w14:textId="77777777" w:rsidR="00792FD1" w:rsidRPr="009F02EC" w:rsidRDefault="00792FD1" w:rsidP="00792FD1">
      <w:pPr>
        <w:spacing w:before="0" w:line="278" w:lineRule="auto"/>
        <w:ind w:left="1434"/>
        <w:contextualSpacing/>
      </w:pPr>
    </w:p>
    <w:p w14:paraId="25869FB5" w14:textId="77777777" w:rsidR="00792FD1" w:rsidRDefault="00792FD1" w:rsidP="00792FD1">
      <w:pPr>
        <w:numPr>
          <w:ilvl w:val="0"/>
          <w:numId w:val="29"/>
        </w:numPr>
        <w:spacing w:before="0" w:line="278" w:lineRule="auto"/>
      </w:pPr>
      <w:r w:rsidRPr="009F02EC">
        <w:rPr>
          <w:b/>
          <w:bCs/>
        </w:rPr>
        <w:t>Benefit to Contractors:</w:t>
      </w:r>
      <w:r w:rsidRPr="009F02EC">
        <w:br/>
        <w:t xml:space="preserve">Lobbying MPs and local elected representatives raises the profile of community </w:t>
      </w:r>
      <w:r w:rsidRPr="009F02EC">
        <w:lastRenderedPageBreak/>
        <w:t>pharmacies, fostering stronger recognition of their role in healthcare, and increasing political support for funding and policy changes that benefit contractors.</w:t>
      </w:r>
    </w:p>
    <w:p w14:paraId="38A9B6C0" w14:textId="77777777" w:rsidR="00792FD1" w:rsidRPr="009F02EC" w:rsidRDefault="00792FD1" w:rsidP="00792FD1">
      <w:pPr>
        <w:spacing w:before="0" w:line="278" w:lineRule="auto"/>
        <w:ind w:left="720"/>
      </w:pPr>
    </w:p>
    <w:p w14:paraId="61D4AEFA" w14:textId="77777777" w:rsidR="00792FD1" w:rsidRPr="009F02EC" w:rsidRDefault="00792FD1" w:rsidP="00792FD1">
      <w:pPr>
        <w:rPr>
          <w:b/>
          <w:bCs/>
        </w:rPr>
      </w:pPr>
      <w:r w:rsidRPr="009F02EC">
        <w:rPr>
          <w:b/>
          <w:bCs/>
        </w:rPr>
        <w:t>5. Proactive Advocacy, Representation in Consultations, and National Lobbying Campaigns</w:t>
      </w:r>
    </w:p>
    <w:p w14:paraId="374994BF" w14:textId="77777777" w:rsidR="00792FD1" w:rsidRPr="009F02EC" w:rsidRDefault="00792FD1" w:rsidP="00792FD1">
      <w:pPr>
        <w:numPr>
          <w:ilvl w:val="0"/>
          <w:numId w:val="30"/>
        </w:numPr>
        <w:spacing w:before="0" w:line="278" w:lineRule="auto"/>
      </w:pPr>
      <w:r w:rsidRPr="009F02EC">
        <w:rPr>
          <w:b/>
          <w:bCs/>
        </w:rPr>
        <w:t>Objective:</w:t>
      </w:r>
      <w:r w:rsidRPr="009F02EC">
        <w:br/>
        <w:t>Ensure pharmacy contractors are proactively represented in key consultations, policy decisions, and national lobbying campaigns to influence healthcare policy, particularly those that directly impact community pharmacies.</w:t>
      </w:r>
    </w:p>
    <w:p w14:paraId="1CDC3AC1" w14:textId="77777777" w:rsidR="00792FD1" w:rsidRPr="009F02EC" w:rsidRDefault="00792FD1" w:rsidP="00792FD1">
      <w:pPr>
        <w:numPr>
          <w:ilvl w:val="0"/>
          <w:numId w:val="30"/>
        </w:numPr>
        <w:spacing w:before="0" w:line="278" w:lineRule="auto"/>
      </w:pPr>
      <w:r w:rsidRPr="009F02EC">
        <w:rPr>
          <w:b/>
          <w:bCs/>
        </w:rPr>
        <w:t>Action:</w:t>
      </w:r>
      <w:r w:rsidRPr="009F02EC">
        <w:t xml:space="preserve"> </w:t>
      </w:r>
    </w:p>
    <w:p w14:paraId="47C6D002" w14:textId="77777777" w:rsidR="00792FD1" w:rsidRPr="009F02EC" w:rsidRDefault="00792FD1" w:rsidP="00792FD1">
      <w:pPr>
        <w:numPr>
          <w:ilvl w:val="1"/>
          <w:numId w:val="30"/>
        </w:numPr>
        <w:spacing w:before="0" w:line="278" w:lineRule="auto"/>
        <w:ind w:left="1434" w:hanging="357"/>
        <w:contextualSpacing/>
      </w:pPr>
      <w:r w:rsidRPr="009F02EC">
        <w:t>Engage in consultations and submit responses on behalf of pharmacy contractors to influence policy-making at both local and national levels.</w:t>
      </w:r>
    </w:p>
    <w:p w14:paraId="3126CB06" w14:textId="77777777" w:rsidR="00792FD1" w:rsidRPr="009F02EC" w:rsidRDefault="00792FD1" w:rsidP="00792FD1">
      <w:pPr>
        <w:numPr>
          <w:ilvl w:val="1"/>
          <w:numId w:val="30"/>
        </w:numPr>
        <w:spacing w:before="0" w:line="278" w:lineRule="auto"/>
        <w:ind w:left="1434" w:hanging="357"/>
        <w:contextualSpacing/>
      </w:pPr>
      <w:r w:rsidRPr="009F02EC">
        <w:t>Participate in national consultations, attend working groups, and align with Community Pharmacy England’s responses while incorporating locally relevant information.</w:t>
      </w:r>
    </w:p>
    <w:p w14:paraId="3847670B" w14:textId="77777777" w:rsidR="00792FD1" w:rsidRPr="009F02EC" w:rsidRDefault="00792FD1" w:rsidP="00792FD1">
      <w:pPr>
        <w:numPr>
          <w:ilvl w:val="1"/>
          <w:numId w:val="30"/>
        </w:numPr>
        <w:spacing w:before="0" w:line="278" w:lineRule="auto"/>
        <w:ind w:left="1434" w:hanging="357"/>
        <w:contextualSpacing/>
      </w:pPr>
      <w:r w:rsidRPr="009F02EC">
        <w:t>Collaborate with Community Pharmacy England and other pharmacy bodies to align lobbying efforts.</w:t>
      </w:r>
    </w:p>
    <w:p w14:paraId="2648DDE0" w14:textId="77777777" w:rsidR="00792FD1" w:rsidRPr="009F02EC" w:rsidRDefault="00792FD1" w:rsidP="00792FD1">
      <w:pPr>
        <w:numPr>
          <w:ilvl w:val="1"/>
          <w:numId w:val="30"/>
        </w:numPr>
        <w:spacing w:before="0" w:line="278" w:lineRule="auto"/>
        <w:ind w:left="1434" w:hanging="357"/>
        <w:contextualSpacing/>
      </w:pPr>
      <w:r w:rsidRPr="009F02EC">
        <w:t>Advocate for critical policy changes that benefit community pharmacies, including better funding, regulations, and service provisions.</w:t>
      </w:r>
    </w:p>
    <w:p w14:paraId="54749BC9" w14:textId="77777777" w:rsidR="00792FD1" w:rsidRDefault="00792FD1" w:rsidP="00792FD1">
      <w:pPr>
        <w:numPr>
          <w:ilvl w:val="1"/>
          <w:numId w:val="30"/>
        </w:numPr>
        <w:spacing w:before="0" w:line="278" w:lineRule="auto"/>
        <w:ind w:left="1434" w:hanging="357"/>
        <w:contextualSpacing/>
      </w:pPr>
      <w:r w:rsidRPr="009F02EC">
        <w:t>Make formal representations to relevant bodies regarding issues like funding, regulations, and service provision.</w:t>
      </w:r>
    </w:p>
    <w:p w14:paraId="18895DD1" w14:textId="77777777" w:rsidR="00792FD1" w:rsidRPr="009F02EC" w:rsidRDefault="00792FD1" w:rsidP="00792FD1">
      <w:pPr>
        <w:spacing w:before="0" w:line="278" w:lineRule="auto"/>
        <w:ind w:left="1434"/>
        <w:contextualSpacing/>
      </w:pPr>
    </w:p>
    <w:p w14:paraId="68E0CEB3" w14:textId="77777777" w:rsidR="00792FD1" w:rsidRDefault="00792FD1" w:rsidP="00792FD1">
      <w:pPr>
        <w:numPr>
          <w:ilvl w:val="0"/>
          <w:numId w:val="30"/>
        </w:numPr>
        <w:spacing w:before="0" w:line="278" w:lineRule="auto"/>
      </w:pPr>
      <w:r w:rsidRPr="009F02EC">
        <w:rPr>
          <w:b/>
          <w:bCs/>
        </w:rPr>
        <w:t>Benefit to Contractors:</w:t>
      </w:r>
      <w:r w:rsidRPr="009F02EC">
        <w:br/>
        <w:t>By ensuring active representation in consultations and national lobbying campaigns, the Committee helps secure favo</w:t>
      </w:r>
      <w:r>
        <w:t>u</w:t>
      </w:r>
      <w:r w:rsidRPr="009F02EC">
        <w:t>rable policies, funding opportunities, and better working conditions for pharmacy contractors. These</w:t>
      </w:r>
      <w:r>
        <w:t xml:space="preserve"> coordinated</w:t>
      </w:r>
      <w:r w:rsidRPr="009F02EC">
        <w:t xml:space="preserve"> efforts amplify the voice of contractors, leading to stronger policy changes and a more favo</w:t>
      </w:r>
      <w:r>
        <w:t>u</w:t>
      </w:r>
      <w:r w:rsidRPr="009F02EC">
        <w:t>rable regulatory environment that benefits the sector.</w:t>
      </w:r>
    </w:p>
    <w:p w14:paraId="13669693" w14:textId="77777777" w:rsidR="00792FD1" w:rsidRPr="009F02EC" w:rsidRDefault="00792FD1" w:rsidP="00B71BF6">
      <w:pPr>
        <w:spacing w:before="0" w:line="278" w:lineRule="auto"/>
        <w:ind w:left="720"/>
      </w:pPr>
    </w:p>
    <w:p w14:paraId="0D739075" w14:textId="77777777" w:rsidR="00550052" w:rsidRDefault="00550052">
      <w:pPr>
        <w:spacing w:before="0" w:after="0" w:line="240" w:lineRule="auto"/>
        <w:rPr>
          <w:b/>
          <w:bCs/>
        </w:rPr>
      </w:pPr>
      <w:r>
        <w:rPr>
          <w:b/>
          <w:bCs/>
        </w:rPr>
        <w:br w:type="page"/>
      </w:r>
    </w:p>
    <w:p w14:paraId="61AB4E4E" w14:textId="054399E5" w:rsidR="00792FD1" w:rsidRPr="009F02EC" w:rsidRDefault="00792FD1" w:rsidP="00792FD1">
      <w:pPr>
        <w:rPr>
          <w:b/>
          <w:bCs/>
        </w:rPr>
      </w:pPr>
      <w:r w:rsidRPr="009F02EC">
        <w:rPr>
          <w:b/>
          <w:bCs/>
        </w:rPr>
        <w:lastRenderedPageBreak/>
        <w:t>6. Collaboration with Other Bodies for Collective Benefit</w:t>
      </w:r>
    </w:p>
    <w:p w14:paraId="03E7FC6D" w14:textId="77777777" w:rsidR="00792FD1" w:rsidRPr="009F02EC" w:rsidRDefault="00792FD1" w:rsidP="00792FD1">
      <w:pPr>
        <w:numPr>
          <w:ilvl w:val="0"/>
          <w:numId w:val="31"/>
        </w:numPr>
        <w:spacing w:before="0" w:line="278" w:lineRule="auto"/>
      </w:pPr>
      <w:r w:rsidRPr="009F02EC">
        <w:rPr>
          <w:b/>
          <w:bCs/>
        </w:rPr>
        <w:t>Objective:</w:t>
      </w:r>
      <w:r w:rsidRPr="009F02EC">
        <w:br/>
        <w:t>Foster collaborations with other local pharmaceutical committees, commissioners, and relevant pharmaceutical and non-pharmaceutical bodies to support pharmacy contractors.</w:t>
      </w:r>
    </w:p>
    <w:p w14:paraId="75CB9F43" w14:textId="77777777" w:rsidR="00792FD1" w:rsidRPr="009F02EC" w:rsidRDefault="00792FD1" w:rsidP="00792FD1">
      <w:pPr>
        <w:numPr>
          <w:ilvl w:val="0"/>
          <w:numId w:val="31"/>
        </w:numPr>
        <w:spacing w:before="0" w:line="278" w:lineRule="auto"/>
      </w:pPr>
      <w:r w:rsidRPr="009F02EC">
        <w:rPr>
          <w:b/>
          <w:bCs/>
        </w:rPr>
        <w:t>Action:</w:t>
      </w:r>
      <w:r w:rsidRPr="009F02EC">
        <w:t xml:space="preserve"> </w:t>
      </w:r>
    </w:p>
    <w:p w14:paraId="1FA9B9FD" w14:textId="77777777" w:rsidR="00792FD1" w:rsidRPr="009F02EC" w:rsidRDefault="00792FD1" w:rsidP="00792FD1">
      <w:pPr>
        <w:numPr>
          <w:ilvl w:val="1"/>
          <w:numId w:val="31"/>
        </w:numPr>
        <w:spacing w:before="0" w:line="278" w:lineRule="auto"/>
        <w:ind w:left="1434" w:hanging="357"/>
        <w:contextualSpacing/>
      </w:pPr>
      <w:r>
        <w:t xml:space="preserve">Regularly meet and collaborate </w:t>
      </w:r>
      <w:r w:rsidRPr="009F02EC">
        <w:t>with other pharmaceutical bodies and relevant stakeholders to create joint initiatives that benefit the pharmacy sector.</w:t>
      </w:r>
    </w:p>
    <w:p w14:paraId="4D50E112" w14:textId="77777777" w:rsidR="00792FD1" w:rsidRDefault="00792FD1" w:rsidP="00792FD1">
      <w:pPr>
        <w:numPr>
          <w:ilvl w:val="1"/>
          <w:numId w:val="31"/>
        </w:numPr>
        <w:spacing w:before="0" w:line="278" w:lineRule="auto"/>
        <w:ind w:left="1434" w:hanging="357"/>
        <w:contextualSpacing/>
      </w:pPr>
      <w:r w:rsidRPr="009F02EC">
        <w:t>Pursue opportunities for shared resources, collaborations, and collective advocacy.</w:t>
      </w:r>
    </w:p>
    <w:p w14:paraId="73A9CA18" w14:textId="77777777" w:rsidR="00B71BF6" w:rsidRPr="009F02EC" w:rsidRDefault="00B71BF6" w:rsidP="00B71BF6">
      <w:pPr>
        <w:spacing w:before="0" w:line="278" w:lineRule="auto"/>
        <w:ind w:left="1434"/>
        <w:contextualSpacing/>
      </w:pPr>
    </w:p>
    <w:p w14:paraId="32D7584A" w14:textId="77777777" w:rsidR="00792FD1" w:rsidRDefault="00792FD1" w:rsidP="00792FD1">
      <w:pPr>
        <w:numPr>
          <w:ilvl w:val="0"/>
          <w:numId w:val="31"/>
        </w:numPr>
        <w:spacing w:before="0" w:line="278" w:lineRule="auto"/>
      </w:pPr>
      <w:r w:rsidRPr="009F02EC">
        <w:rPr>
          <w:b/>
          <w:bCs/>
        </w:rPr>
        <w:t>Benefit to Contractors:</w:t>
      </w:r>
      <w:r w:rsidRPr="009F02EC">
        <w:br/>
        <w:t>Collaboration with a wide range of stakeholders leads to shared resources, stronger collective advocacy, and improved policy outcomes, benefiting contractors through enhanced service delivery and policy changes in the most cost-effective and efficient way.</w:t>
      </w:r>
    </w:p>
    <w:p w14:paraId="5E6DE51C" w14:textId="77777777" w:rsidR="00792FD1" w:rsidRPr="009F02EC" w:rsidRDefault="00792FD1" w:rsidP="00792FD1">
      <w:pPr>
        <w:spacing w:before="0" w:line="278" w:lineRule="auto"/>
        <w:ind w:left="720"/>
      </w:pPr>
    </w:p>
    <w:p w14:paraId="72316265" w14:textId="3F85B686" w:rsidR="00792FD1" w:rsidRDefault="00792FD1" w:rsidP="00792FD1">
      <w:pPr>
        <w:pStyle w:val="Heading3"/>
      </w:pPr>
      <w:r>
        <w:t>Summary for the year ahead</w:t>
      </w:r>
    </w:p>
    <w:p w14:paraId="1E47F6B7" w14:textId="3BD8408E" w:rsidR="00D8498F" w:rsidRDefault="00D8498F" w:rsidP="005E370A">
      <w:pPr>
        <w:jc w:val="both"/>
      </w:pPr>
      <w:r>
        <w:t xml:space="preserve">Moving forward, the committee will </w:t>
      </w:r>
      <w:r w:rsidR="00EC38B1">
        <w:t xml:space="preserve">continue to </w:t>
      </w:r>
      <w:r>
        <w:t xml:space="preserve">meet </w:t>
      </w:r>
      <w:r w:rsidR="009A77C3">
        <w:t>quarterly for</w:t>
      </w:r>
      <w:r w:rsidR="00A75AD4">
        <w:t xml:space="preserve"> four</w:t>
      </w:r>
      <w:r w:rsidR="00E37413">
        <w:t xml:space="preserve"> full-day, face-to-face meetings. This </w:t>
      </w:r>
      <w:r w:rsidR="00A75AD4">
        <w:t>ensures</w:t>
      </w:r>
      <w:r w:rsidR="00E37413">
        <w:t xml:space="preserve"> the correct level of influence</w:t>
      </w:r>
      <w:r w:rsidR="00C04F2A">
        <w:t>, discussion</w:t>
      </w:r>
      <w:r w:rsidR="00E37413">
        <w:t xml:space="preserve"> and networking whilst continuing to work with the current financial envelope.</w:t>
      </w:r>
    </w:p>
    <w:p w14:paraId="48A3A790" w14:textId="1D08009C" w:rsidR="00BB0042" w:rsidRDefault="00BB0042" w:rsidP="005E370A">
      <w:pPr>
        <w:jc w:val="both"/>
      </w:pPr>
      <w:r>
        <w:t xml:space="preserve">Workforce pressures continue to be an issue in </w:t>
      </w:r>
      <w:r w:rsidR="00C04F2A">
        <w:t xml:space="preserve">the </w:t>
      </w:r>
      <w:r>
        <w:t>county and we have been engaging with the system to ensure local primary care providers are working together for the benefit of their patients, recognising the challenges all parties face.</w:t>
      </w:r>
    </w:p>
    <w:p w14:paraId="1BC8A1FC" w14:textId="288397D8" w:rsidR="007404B8" w:rsidRDefault="007404B8" w:rsidP="005E370A">
      <w:pPr>
        <w:jc w:val="both"/>
      </w:pPr>
      <w:r>
        <w:t>As noted earlier in the report, we were successful in three bids to the Primary Care People Group Fund</w:t>
      </w:r>
      <w:r w:rsidR="00950FBD">
        <w:t>, two of which will be extended over</w:t>
      </w:r>
      <w:r w:rsidR="009A77C3">
        <w:t xml:space="preserve"> </w:t>
      </w:r>
      <w:r>
        <w:t xml:space="preserve">the coming year </w:t>
      </w:r>
      <w:r w:rsidR="00C04F2A">
        <w:t>(202</w:t>
      </w:r>
      <w:r w:rsidR="00950FBD">
        <w:t>5</w:t>
      </w:r>
      <w:r w:rsidR="00C04F2A">
        <w:t>-2</w:t>
      </w:r>
      <w:r w:rsidR="00950FBD">
        <w:t>6</w:t>
      </w:r>
      <w:r w:rsidR="00C04F2A">
        <w:t xml:space="preserve">) </w:t>
      </w:r>
      <w:r w:rsidR="00903C57">
        <w:t>in relation to</w:t>
      </w:r>
      <w:r>
        <w:t xml:space="preserve"> Technician Upskilling</w:t>
      </w:r>
      <w:r w:rsidR="00950FBD">
        <w:t xml:space="preserve"> and</w:t>
      </w:r>
      <w:r>
        <w:t xml:space="preserve"> </w:t>
      </w:r>
      <w:r w:rsidR="004C00E2">
        <w:t xml:space="preserve">our Teach and Treat funding to support Independent </w:t>
      </w:r>
      <w:r w:rsidR="00317C9C">
        <w:t>Prescribers ’Designated</w:t>
      </w:r>
      <w:r>
        <w:t xml:space="preserve"> Prescribing Practitioners</w:t>
      </w:r>
      <w:r w:rsidR="00317C9C">
        <w:t>’</w:t>
      </w:r>
      <w:r>
        <w:t xml:space="preserve">. </w:t>
      </w:r>
      <w:r w:rsidR="00C04F2A">
        <w:t xml:space="preserve">The funding from these bids will specifically </w:t>
      </w:r>
      <w:r w:rsidR="00BB0042">
        <w:t>support workforce development within the county.</w:t>
      </w:r>
      <w:r w:rsidR="00383140">
        <w:t xml:space="preserve"> </w:t>
      </w:r>
      <w:r w:rsidR="00C3561D" w:rsidRPr="00457D18">
        <w:rPr>
          <w:rFonts w:cs="Calibri"/>
        </w:rPr>
        <w:t xml:space="preserve">There are currently six places remaining for Teach and Treat IP </w:t>
      </w:r>
      <w:r w:rsidR="00C3561D" w:rsidRPr="00457D18">
        <w:rPr>
          <w:rFonts w:cs="Calibri"/>
        </w:rPr>
        <w:lastRenderedPageBreak/>
        <w:t xml:space="preserve">support and more information about the project can be found </w:t>
      </w:r>
      <w:hyperlink r:id="rId20" w:history="1">
        <w:r w:rsidR="00C3561D" w:rsidRPr="00457D18">
          <w:rPr>
            <w:rStyle w:val="Hyperlink"/>
            <w:rFonts w:cs="Calibri"/>
          </w:rPr>
          <w:t>here</w:t>
        </w:r>
      </w:hyperlink>
      <w:r w:rsidR="00A76916" w:rsidRPr="00457D18">
        <w:rPr>
          <w:rFonts w:cs="Calibri"/>
        </w:rPr>
        <w:t xml:space="preserve">. More information </w:t>
      </w:r>
      <w:r w:rsidR="00C3561D" w:rsidRPr="00457D18">
        <w:t xml:space="preserve">about </w:t>
      </w:r>
      <w:r w:rsidR="00C3561D" w:rsidRPr="00457D18">
        <w:rPr>
          <w:b/>
          <w:bCs/>
        </w:rPr>
        <w:t>Technician Upskilling</w:t>
      </w:r>
      <w:r w:rsidR="00A76916" w:rsidRPr="00457D18">
        <w:t xml:space="preserve"> funding,</w:t>
      </w:r>
      <w:r w:rsidR="00C3561D" w:rsidRPr="00457D18">
        <w:t xml:space="preserve"> allowing the Accuracy Checking Technician course fees to be paid for contractors</w:t>
      </w:r>
      <w:r w:rsidR="00A76916" w:rsidRPr="00457D18">
        <w:t>, can be found</w:t>
      </w:r>
      <w:r w:rsidR="00C3561D" w:rsidRPr="00457D18">
        <w:t xml:space="preserve"> </w:t>
      </w:r>
      <w:hyperlink r:id="rId21" w:history="1">
        <w:r w:rsidR="00C3561D" w:rsidRPr="00457D18">
          <w:rPr>
            <w:rStyle w:val="Hyperlink"/>
          </w:rPr>
          <w:t>here</w:t>
        </w:r>
      </w:hyperlink>
      <w:r w:rsidR="00C3561D" w:rsidRPr="00457D18">
        <w:t>.</w:t>
      </w:r>
    </w:p>
    <w:p w14:paraId="63903738" w14:textId="24DFB844" w:rsidR="00D8498F" w:rsidRPr="001D04AB" w:rsidRDefault="00D8498F" w:rsidP="00F928E8">
      <w:pPr>
        <w:rPr>
          <w:b/>
          <w:bCs/>
        </w:rPr>
      </w:pPr>
      <w:r w:rsidRPr="002A2C1B">
        <w:t>The pace of change and demand on the committee’s, officers’ and employees</w:t>
      </w:r>
      <w:r w:rsidRPr="002A2C1B">
        <w:rPr>
          <w:b/>
          <w:bCs/>
        </w:rPr>
        <w:t>’</w:t>
      </w:r>
      <w:r w:rsidRPr="002A2C1B">
        <w:t xml:space="preserve"> time continues to be significant. </w:t>
      </w:r>
      <w:r>
        <w:t xml:space="preserve">During </w:t>
      </w:r>
      <w:r w:rsidR="00F83ED8">
        <w:t>202</w:t>
      </w:r>
      <w:r w:rsidR="002336BA">
        <w:t>5</w:t>
      </w:r>
      <w:r w:rsidR="00F83ED8">
        <w:t>/2</w:t>
      </w:r>
      <w:r w:rsidR="002336BA">
        <w:t>6</w:t>
      </w:r>
      <w:r>
        <w:t xml:space="preserve">, we will </w:t>
      </w:r>
      <w:r w:rsidRPr="00C96B57">
        <w:t>continue to devote time and effort to ensuring that pharmacy contractors in Lincolnshire c</w:t>
      </w:r>
      <w:r>
        <w:t>an</w:t>
      </w:r>
      <w:r w:rsidRPr="00C96B57">
        <w:t xml:space="preserve"> continue to deliver services to their patients, and to look critically at the services currently being commissioned</w:t>
      </w:r>
      <w:r w:rsidRPr="00C96B57">
        <w:rPr>
          <w:b/>
          <w:bCs/>
        </w:rPr>
        <w:t>,</w:t>
      </w:r>
      <w:r w:rsidRPr="00C96B57">
        <w:t xml:space="preserve"> with a view to ensuring that these </w:t>
      </w:r>
      <w:r>
        <w:t>are</w:t>
      </w:r>
      <w:r w:rsidRPr="00C96B57">
        <w:t xml:space="preserve"> safe, effective and adequately funded. </w:t>
      </w:r>
      <w:r w:rsidR="00304ED7" w:rsidRPr="00C33896">
        <w:t xml:space="preserve">The committee also agreed to </w:t>
      </w:r>
      <w:r w:rsidR="00304ED7">
        <w:t>permanently appoint</w:t>
      </w:r>
      <w:r w:rsidR="00304ED7" w:rsidRPr="00C33896">
        <w:t xml:space="preserve"> a part-time administrator, Natalie Kenny, to support the Chief Officer</w:t>
      </w:r>
      <w:r w:rsidR="00304ED7">
        <w:t xml:space="preserve">, </w:t>
      </w:r>
      <w:r w:rsidR="00304ED7" w:rsidRPr="00C33896">
        <w:t>Executive</w:t>
      </w:r>
      <w:r w:rsidR="00304ED7">
        <w:t xml:space="preserve"> Committee and the Community Pharmacy Lincolnshire Committee with their </w:t>
      </w:r>
      <w:r w:rsidR="00304ED7" w:rsidRPr="00C33896">
        <w:t>work</w:t>
      </w:r>
      <w:r w:rsidR="00304ED7" w:rsidRPr="006E6191">
        <w:t xml:space="preserve"> for the coming year</w:t>
      </w:r>
      <w:r w:rsidR="00304ED7">
        <w:t>, enabling the Chief Officer to focus on core work whilst supported effectively and efficiently by the administrator, to ensure best use of resources.</w:t>
      </w:r>
    </w:p>
    <w:p w14:paraId="2EA349D1" w14:textId="0857C267" w:rsidR="00D8498F" w:rsidRPr="00A52615" w:rsidRDefault="00D8498F" w:rsidP="005E370A">
      <w:pPr>
        <w:jc w:val="both"/>
      </w:pPr>
      <w:r>
        <w:t>Relationships built with the system and engagement in key work groups and committees have allowed stakeholders to discuss</w:t>
      </w:r>
      <w:r w:rsidRPr="00A52615">
        <w:t xml:space="preserve"> ideas and concerns earlier, allowing for outcomes beneficial to contractors.  After a</w:t>
      </w:r>
      <w:r>
        <w:t>nother</w:t>
      </w:r>
      <w:r w:rsidRPr="00A52615">
        <w:t xml:space="preserve"> positive year working with the ICS representatives in the county, and with primary care local committee representatives for dentistry, ophthalmology and general practice, </w:t>
      </w:r>
      <w:r w:rsidR="002336BA">
        <w:t xml:space="preserve">along with other organisations like Healthwatch, </w:t>
      </w:r>
      <w:r w:rsidRPr="00A52615">
        <w:t>we will further fortify these relationships</w:t>
      </w:r>
      <w:r>
        <w:t xml:space="preserve"> and benefits</w:t>
      </w:r>
      <w:r w:rsidRPr="00A52615">
        <w:t xml:space="preserve"> in </w:t>
      </w:r>
      <w:r w:rsidR="00F83ED8">
        <w:t>202</w:t>
      </w:r>
      <w:r w:rsidR="002336BA">
        <w:t>5</w:t>
      </w:r>
      <w:r w:rsidR="00F83ED8">
        <w:t>-2</w:t>
      </w:r>
      <w:r w:rsidR="002336BA">
        <w:t>6</w:t>
      </w:r>
      <w:r w:rsidRPr="00A52615">
        <w:t>.</w:t>
      </w:r>
    </w:p>
    <w:p w14:paraId="4953B509" w14:textId="0BB21F38" w:rsidR="00D8498F" w:rsidRDefault="00D8498F" w:rsidP="007161D4">
      <w:pPr>
        <w:jc w:val="both"/>
      </w:pPr>
      <w:r w:rsidRPr="001C693F">
        <w:t>As we move into 202</w:t>
      </w:r>
      <w:r w:rsidR="002336BA">
        <w:t>5</w:t>
      </w:r>
      <w:r w:rsidR="00F83ED8">
        <w:t>/2</w:t>
      </w:r>
      <w:r w:rsidR="002336BA">
        <w:t>6</w:t>
      </w:r>
      <w:r>
        <w:t xml:space="preserve"> </w:t>
      </w:r>
      <w:r w:rsidRPr="001C693F">
        <w:t>we will continue to support contractors in relation to service development</w:t>
      </w:r>
      <w:r>
        <w:t>,</w:t>
      </w:r>
      <w:r w:rsidRPr="001C693F">
        <w:t xml:space="preserve"> including the </w:t>
      </w:r>
      <w:r>
        <w:t xml:space="preserve">continued </w:t>
      </w:r>
      <w:r w:rsidRPr="001C693F">
        <w:t xml:space="preserve">roll out of </w:t>
      </w:r>
      <w:r w:rsidR="002C5FB0">
        <w:t xml:space="preserve">Pharmacy First, the </w:t>
      </w:r>
      <w:r w:rsidR="0061223B">
        <w:t xml:space="preserve">Pharmacy </w:t>
      </w:r>
      <w:r w:rsidR="002C5FB0">
        <w:t>Contraception Service</w:t>
      </w:r>
      <w:r w:rsidR="0061223B">
        <w:t>,</w:t>
      </w:r>
      <w:r w:rsidR="002C5FB0">
        <w:t xml:space="preserve"> and </w:t>
      </w:r>
      <w:r w:rsidR="0061223B">
        <w:t xml:space="preserve">the </w:t>
      </w:r>
      <w:r w:rsidR="002C5FB0">
        <w:t>Hypertension Case Finding Service,</w:t>
      </w:r>
      <w:r w:rsidRPr="001C693F">
        <w:t xml:space="preserve"> through continued liaison with the LMC and ICS with the aim of maximising service potential. We have </w:t>
      </w:r>
      <w:r>
        <w:t xml:space="preserve">extended the appointment of our Services Implementation and Development </w:t>
      </w:r>
      <w:r w:rsidR="00BA7E5A">
        <w:t>Lead</w:t>
      </w:r>
      <w:r>
        <w:t xml:space="preserve"> at 11.5 hours per week, utilising external funding, to further develop </w:t>
      </w:r>
      <w:r w:rsidR="00BC7E88">
        <w:t>services</w:t>
      </w:r>
      <w:r>
        <w:t xml:space="preserve"> roll out and help with development as the year </w:t>
      </w:r>
      <w:r w:rsidR="0061223B">
        <w:t>progresses.</w:t>
      </w:r>
    </w:p>
    <w:p w14:paraId="15BDEC24" w14:textId="7CFAE5CE" w:rsidR="00AD295E" w:rsidRDefault="00D8498F" w:rsidP="007161D4">
      <w:pPr>
        <w:jc w:val="both"/>
      </w:pPr>
      <w:r w:rsidRPr="00AB7DDE">
        <w:t>Last year</w:t>
      </w:r>
      <w:r w:rsidR="00AB7DDE" w:rsidRPr="00AB7DDE">
        <w:t>, as in previous years,</w:t>
      </w:r>
      <w:r w:rsidRPr="00AB7DDE">
        <w:t xml:space="preserve"> we hoped to see </w:t>
      </w:r>
      <w:r w:rsidR="0061223B" w:rsidRPr="00AB7DDE">
        <w:t xml:space="preserve">further </w:t>
      </w:r>
      <w:r w:rsidRPr="00AB7DDE">
        <w:t xml:space="preserve">roll-out </w:t>
      </w:r>
      <w:r w:rsidR="0061223B" w:rsidRPr="00AB7DDE">
        <w:t xml:space="preserve">of referrals from NHS Trusts in Lincolnshire for </w:t>
      </w:r>
      <w:r w:rsidRPr="00AB7DDE">
        <w:t>the Discharge Medicines Service</w:t>
      </w:r>
      <w:r w:rsidR="004F4DA7" w:rsidRPr="00AB7DDE">
        <w:t xml:space="preserve"> (DMS)</w:t>
      </w:r>
      <w:r w:rsidRPr="00AB7DDE">
        <w:t>, as an essential service should see improved patient outcomes, growth of interprofessional networks and an increase in income for contractors</w:t>
      </w:r>
      <w:r w:rsidR="00B87957">
        <w:t xml:space="preserve"> </w:t>
      </w:r>
      <w:r w:rsidR="00C06022" w:rsidRPr="00AB7DDE">
        <w:t xml:space="preserve">– a service we have been encouraging </w:t>
      </w:r>
      <w:r w:rsidR="004A7280" w:rsidRPr="00AB7DDE">
        <w:t>United Lincolnshire Training Hospital</w:t>
      </w:r>
      <w:r w:rsidR="004A7280">
        <w:t xml:space="preserve"> (</w:t>
      </w:r>
      <w:r w:rsidR="004A7280" w:rsidRPr="00AB7DDE">
        <w:t>ULTH</w:t>
      </w:r>
      <w:r w:rsidR="004A7280">
        <w:t>)</w:t>
      </w:r>
      <w:r w:rsidR="00C06022" w:rsidRPr="00AB7DDE">
        <w:t xml:space="preserve"> to </w:t>
      </w:r>
      <w:r w:rsidR="0089626C" w:rsidRPr="00AB7DDE">
        <w:lastRenderedPageBreak/>
        <w:t>engage with since 2021</w:t>
      </w:r>
      <w:r w:rsidRPr="00AB7DDE">
        <w:t xml:space="preserve">. Unfortunately, this did not happen. </w:t>
      </w:r>
      <w:r w:rsidR="004F4DA7" w:rsidRPr="00AB7DDE">
        <w:t xml:space="preserve">Positive steps have been made with Electronic Prescribing and Medicines Administration (EPMA) systems being implemented across the Trust. We </w:t>
      </w:r>
      <w:r w:rsidR="0089626C" w:rsidRPr="00AB7DDE">
        <w:t>hope to</w:t>
      </w:r>
      <w:r w:rsidR="004F4DA7" w:rsidRPr="00AB7DDE">
        <w:t xml:space="preserve"> begin to see referrals for DMS from the Trust during </w:t>
      </w:r>
      <w:r w:rsidR="0089626C" w:rsidRPr="00AB7DDE">
        <w:t>2025/26</w:t>
      </w:r>
      <w:r w:rsidR="00114269" w:rsidRPr="00AB7DDE">
        <w:t xml:space="preserve">, and continue to work with the system to ensure the roll out is managed in a sustainable, staged way with appropriate notice of its launch given to Lincolnshire Pharmacy Contractors. Referrals will continue from Lincolnshire Community Health Services (LCHS) who have four community hospitals within the county, and the Lincolnshire Partnership </w:t>
      </w:r>
      <w:r w:rsidR="006E6191" w:rsidRPr="00AB7DDE">
        <w:t xml:space="preserve">NHS </w:t>
      </w:r>
      <w:r w:rsidR="00114269" w:rsidRPr="00AB7DDE">
        <w:t>Foundation Trust (LPFT</w:t>
      </w:r>
      <w:r w:rsidR="006E6191" w:rsidRPr="00AB7DDE">
        <w:t>), who provided mental health</w:t>
      </w:r>
      <w:r w:rsidR="00114269" w:rsidRPr="00AB7DDE">
        <w:t xml:space="preserve"> </w:t>
      </w:r>
      <w:r w:rsidR="006E6191" w:rsidRPr="00AB7DDE">
        <w:t>services, including in-patient care</w:t>
      </w:r>
      <w:r w:rsidR="00114269" w:rsidRPr="00AB7DDE">
        <w:t>. We will also continue to work with cross border secondary care providers to ensure smooth functioning of existing DMS referrals.</w:t>
      </w:r>
    </w:p>
    <w:p w14:paraId="75F49E87" w14:textId="3F377DD5" w:rsidR="00D8498F" w:rsidRPr="00AD5AAB" w:rsidRDefault="00D8498F" w:rsidP="008050C7">
      <w:pPr>
        <w:jc w:val="both"/>
        <w:rPr>
          <w:b/>
          <w:bCs/>
        </w:rPr>
      </w:pPr>
      <w:r w:rsidRPr="008050C7">
        <w:t xml:space="preserve">As healthcare systems continue to evolve, </w:t>
      </w:r>
      <w:r w:rsidR="00DC1705" w:rsidRPr="008050C7">
        <w:t xml:space="preserve">and the pace of change within community pharmacy quickens, </w:t>
      </w:r>
      <w:r w:rsidRPr="008050C7">
        <w:t xml:space="preserve">the activities and approaches of LPCs and </w:t>
      </w:r>
      <w:r w:rsidR="00990937" w:rsidRPr="008050C7">
        <w:t>Community Pharmacy England</w:t>
      </w:r>
      <w:r w:rsidRPr="008050C7">
        <w:t xml:space="preserve"> must do so too. The committee of Community Pharmacy Lincolnshire continue to </w:t>
      </w:r>
      <w:r w:rsidR="00DC1705" w:rsidRPr="008050C7">
        <w:t>review</w:t>
      </w:r>
      <w:r w:rsidRPr="008050C7">
        <w:t xml:space="preserve"> how we can best serve contractors in a large rural county, being mindful of national changes and recommendations</w:t>
      </w:r>
      <w:r w:rsidR="001D6083" w:rsidRPr="008050C7">
        <w:t>. The</w:t>
      </w:r>
      <w:r w:rsidR="00746EF8" w:rsidRPr="008050C7">
        <w:t xml:space="preserve"> impact of the new contract </w:t>
      </w:r>
      <w:r w:rsidR="005C267B" w:rsidRPr="008050C7">
        <w:t>announced at the end of March 2025</w:t>
      </w:r>
      <w:r w:rsidR="00746EF8" w:rsidRPr="008050C7">
        <w:t xml:space="preserve"> </w:t>
      </w:r>
      <w:r w:rsidR="00B10C06">
        <w:t>and the future negotiations for 2026/27</w:t>
      </w:r>
      <w:r w:rsidR="007C01A6">
        <w:t xml:space="preserve"> and beyond</w:t>
      </w:r>
      <w:r w:rsidR="00B10C06">
        <w:t>, in light of the</w:t>
      </w:r>
      <w:r w:rsidR="005C267B">
        <w:t xml:space="preserve"> </w:t>
      </w:r>
      <w:hyperlink r:id="rId22" w:history="1">
        <w:r w:rsidR="005C267B" w:rsidRPr="005C267B">
          <w:rPr>
            <w:rStyle w:val="Hyperlink"/>
          </w:rPr>
          <w:t>NHS commissioned</w:t>
        </w:r>
        <w:r w:rsidR="00B10C06" w:rsidRPr="005C267B">
          <w:rPr>
            <w:rStyle w:val="Hyperlink"/>
          </w:rPr>
          <w:t xml:space="preserve"> independent economic analysis</w:t>
        </w:r>
      </w:hyperlink>
      <w:r w:rsidR="00B10C06">
        <w:t xml:space="preserve"> </w:t>
      </w:r>
      <w:r w:rsidR="005C267B">
        <w:t>published in March 2025</w:t>
      </w:r>
      <w:r w:rsidR="00304ED7">
        <w:t>,</w:t>
      </w:r>
      <w:r w:rsidR="001D6083">
        <w:t xml:space="preserve"> are a particular focus</w:t>
      </w:r>
      <w:r w:rsidR="005C267B">
        <w:t>.</w:t>
      </w:r>
      <w:r w:rsidR="001D6083">
        <w:t xml:space="preserve"> Administrative </w:t>
      </w:r>
      <w:r w:rsidR="00195AD9">
        <w:t>restructures</w:t>
      </w:r>
      <w:r w:rsidR="007D15B8">
        <w:t xml:space="preserve"> resulting from the merger of the Department of Health and Social Care and NHS England</w:t>
      </w:r>
      <w:r w:rsidR="00195AD9">
        <w:t>,</w:t>
      </w:r>
      <w:r w:rsidR="007D15B8">
        <w:t xml:space="preserve"> as well as mandated 50% budget cuts to ICB running costs by October 2025</w:t>
      </w:r>
      <w:r w:rsidR="00B87957">
        <w:t>,</w:t>
      </w:r>
      <w:r w:rsidR="007D15B8">
        <w:t xml:space="preserve"> will </w:t>
      </w:r>
      <w:r w:rsidR="00031254">
        <w:t xml:space="preserve">likely </w:t>
      </w:r>
      <w:r w:rsidR="007D15B8">
        <w:t>impact the way we engage with these organisations</w:t>
      </w:r>
      <w:r w:rsidR="00195AD9">
        <w:t>, but we will continue to ensure community pharmacy’s voice is heard.</w:t>
      </w:r>
    </w:p>
    <w:p w14:paraId="7E166ED1" w14:textId="473FA96A" w:rsidR="00D8498F" w:rsidRPr="00C96B57" w:rsidRDefault="00D8498F" w:rsidP="00D8498F">
      <w:pPr>
        <w:rPr>
          <w:b/>
          <w:bCs/>
        </w:rPr>
      </w:pPr>
      <w:r w:rsidRPr="00261CFA">
        <w:t>I would again like to take this opportunity to formally thank the members of the LPC committee for their hard work and devotion during the year. In particular, I would like to share my gratitude for the support of Marc Brooks</w:t>
      </w:r>
      <w:r w:rsidR="0091503C">
        <w:t xml:space="preserve"> and then Blazej Jasnowski</w:t>
      </w:r>
      <w:r w:rsidRPr="00261CFA">
        <w:t xml:space="preserve"> (Vice Chair) and Chris Kenny (treasurer).</w:t>
      </w:r>
      <w:r>
        <w:t xml:space="preserve"> </w:t>
      </w:r>
      <w:r w:rsidRPr="00261CFA">
        <w:t xml:space="preserve">I would also like to extend this to Tracey Latham-Green, our Chief Officer </w:t>
      </w:r>
      <w:r w:rsidR="00990937">
        <w:t>for her</w:t>
      </w:r>
      <w:r w:rsidR="00990937" w:rsidRPr="00261CFA">
        <w:t xml:space="preserve"> continued hard work</w:t>
      </w:r>
      <w:r w:rsidR="0056317E">
        <w:t xml:space="preserve">, </w:t>
      </w:r>
      <w:r w:rsidR="0091503C">
        <w:t>Natalie Kenny</w:t>
      </w:r>
      <w:r w:rsidRPr="00261CFA">
        <w:t>, our Administrat</w:t>
      </w:r>
      <w:r w:rsidR="00A81B83">
        <w:t>or for her efficient support</w:t>
      </w:r>
      <w:r w:rsidRPr="00261CFA">
        <w:t xml:space="preserve"> </w:t>
      </w:r>
      <w:r w:rsidR="0056317E">
        <w:t>and Stuart Hellon our Services Lead</w:t>
      </w:r>
      <w:r w:rsidR="004F68EA">
        <w:t>.</w:t>
      </w:r>
    </w:p>
    <w:p w14:paraId="3DA64FFF" w14:textId="77777777" w:rsidR="00D8498F" w:rsidRDefault="00D8498F" w:rsidP="00D8498F">
      <w:pPr>
        <w:rPr>
          <w:rFonts w:cstheme="minorHAnsi"/>
          <w:b/>
        </w:rPr>
      </w:pPr>
    </w:p>
    <w:p w14:paraId="4ED409A6" w14:textId="77777777" w:rsidR="00831100" w:rsidRDefault="00831100" w:rsidP="00900144">
      <w:pPr>
        <w:pStyle w:val="Heading3"/>
      </w:pPr>
    </w:p>
    <w:p w14:paraId="3057BE15" w14:textId="6B9BB0A1" w:rsidR="00D8498F" w:rsidRPr="00C950E8" w:rsidRDefault="00D8498F" w:rsidP="00900144">
      <w:pPr>
        <w:pStyle w:val="Heading3"/>
      </w:pPr>
      <w:r w:rsidRPr="00C950E8">
        <w:t>ASSURANCE STATEMENT</w:t>
      </w:r>
    </w:p>
    <w:p w14:paraId="3123FA4E" w14:textId="77777777" w:rsidR="00D8498F" w:rsidRPr="00C950E8" w:rsidRDefault="00D8498F" w:rsidP="00D8498F">
      <w:pPr>
        <w:pStyle w:val="ListParagraph"/>
        <w:spacing w:after="0" w:line="240" w:lineRule="auto"/>
        <w:ind w:left="360"/>
        <w:rPr>
          <w:rFonts w:cstheme="minorHAnsi"/>
          <w:b/>
        </w:rPr>
      </w:pPr>
    </w:p>
    <w:p w14:paraId="0A4EDF93" w14:textId="77777777" w:rsidR="00D86978" w:rsidRDefault="00D8498F" w:rsidP="00D8498F">
      <w:r w:rsidRPr="00C950E8">
        <w:t>I confirm that the committee has met its duties and recommend that the committee continues its work under the terms of the constitution.</w:t>
      </w:r>
    </w:p>
    <w:p w14:paraId="26A468BC" w14:textId="180170BE" w:rsidR="00D8498F" w:rsidRPr="00C950E8" w:rsidRDefault="00D8498F" w:rsidP="00D8498F">
      <w:pPr>
        <w:rPr>
          <w:rFonts w:cstheme="minorHAnsi"/>
          <w:b/>
        </w:rPr>
      </w:pPr>
      <w:r w:rsidRPr="00C950E8">
        <w:rPr>
          <w:rFonts w:cstheme="minorHAnsi"/>
          <w:b/>
        </w:rPr>
        <w:t>Paul Jenks</w:t>
      </w:r>
      <w:r w:rsidRPr="00C950E8">
        <w:rPr>
          <w:rFonts w:cstheme="minorHAnsi"/>
          <w:b/>
        </w:rPr>
        <w:br/>
        <w:t>Chair of Community Pharmacy Lincolnshire</w:t>
      </w:r>
    </w:p>
    <w:p w14:paraId="0C52B3B1" w14:textId="77777777" w:rsidR="00D8498F" w:rsidRPr="00C950E8" w:rsidRDefault="00D8498F" w:rsidP="00D8498F">
      <w:pPr>
        <w:rPr>
          <w:rFonts w:cstheme="minorHAnsi"/>
          <w:b/>
        </w:rPr>
      </w:pPr>
    </w:p>
    <w:p w14:paraId="5BC4340A" w14:textId="77E518C9" w:rsidR="00D8498F" w:rsidRDefault="00D8498F" w:rsidP="00D8498F">
      <w:pPr>
        <w:rPr>
          <w:rFonts w:cstheme="minorHAnsi"/>
          <w:b/>
        </w:rPr>
      </w:pPr>
      <w:r w:rsidRPr="00C950E8">
        <w:rPr>
          <w:rFonts w:cstheme="minorHAnsi"/>
          <w:b/>
        </w:rPr>
        <w:t>March 202</w:t>
      </w:r>
      <w:r w:rsidR="0091503C">
        <w:rPr>
          <w:rFonts w:cstheme="minorHAnsi"/>
          <w:b/>
        </w:rPr>
        <w:t>5</w:t>
      </w:r>
    </w:p>
    <w:p w14:paraId="110D39F4" w14:textId="77777777" w:rsidR="00D8498F" w:rsidRDefault="00D8498F" w:rsidP="00D8498F">
      <w:pPr>
        <w:rPr>
          <w:rFonts w:cstheme="minorHAnsi"/>
          <w:b/>
        </w:rPr>
      </w:pPr>
    </w:p>
    <w:p w14:paraId="70F720B3" w14:textId="77777777" w:rsidR="007C15A6" w:rsidRPr="00AF5F23" w:rsidRDefault="007C15A6" w:rsidP="007C15A6">
      <w:pPr>
        <w:pStyle w:val="ListNumber"/>
        <w:numPr>
          <w:ilvl w:val="0"/>
          <w:numId w:val="0"/>
        </w:numPr>
        <w:ind w:left="360" w:hanging="360"/>
      </w:pPr>
    </w:p>
    <w:sectPr w:rsidR="007C15A6" w:rsidRPr="00AF5F23" w:rsidSect="00A86210">
      <w:headerReference w:type="default" r:id="rId23"/>
      <w:footerReference w:type="default" r:id="rId24"/>
      <w:headerReference w:type="first" r:id="rId25"/>
      <w:type w:val="continuous"/>
      <w:pgSz w:w="11906" w:h="16838"/>
      <w:pgMar w:top="1021" w:right="1021" w:bottom="1021" w:left="1021" w:header="73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EC58" w14:textId="77777777" w:rsidR="00101508" w:rsidRDefault="00101508" w:rsidP="00630E66">
      <w:r>
        <w:separator/>
      </w:r>
    </w:p>
  </w:endnote>
  <w:endnote w:type="continuationSeparator" w:id="0">
    <w:p w14:paraId="59E1A804" w14:textId="77777777" w:rsidR="00101508" w:rsidRDefault="00101508" w:rsidP="00630E66">
      <w:r>
        <w:continuationSeparator/>
      </w:r>
    </w:p>
  </w:endnote>
  <w:endnote w:type="continuationNotice" w:id="1">
    <w:p w14:paraId="72CE6C11" w14:textId="77777777" w:rsidR="00101508" w:rsidRDefault="001015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0B82" w14:textId="24041240"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6A81" w14:textId="77777777" w:rsidR="00101508" w:rsidRDefault="00101508" w:rsidP="00630E66">
      <w:r>
        <w:separator/>
      </w:r>
    </w:p>
  </w:footnote>
  <w:footnote w:type="continuationSeparator" w:id="0">
    <w:p w14:paraId="78B16B2B" w14:textId="77777777" w:rsidR="00101508" w:rsidRDefault="00101508" w:rsidP="00630E66">
      <w:r>
        <w:continuationSeparator/>
      </w:r>
    </w:p>
  </w:footnote>
  <w:footnote w:type="continuationNotice" w:id="1">
    <w:p w14:paraId="6803C3C2" w14:textId="77777777" w:rsidR="00101508" w:rsidRDefault="001015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3F7B" w14:textId="50670F19" w:rsidR="00721E34" w:rsidRDefault="00D8498F">
    <w:pPr>
      <w:pStyle w:val="Header"/>
    </w:pPr>
    <w:r>
      <w:rPr>
        <w:noProof/>
      </w:rPr>
      <w:drawing>
        <wp:inline distT="0" distB="0" distL="0" distR="0" wp14:anchorId="6C49732C" wp14:editId="6C172EB0">
          <wp:extent cx="3240024" cy="1080008"/>
          <wp:effectExtent l="0" t="0" r="0" b="6350"/>
          <wp:docPr id="227850206"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50206"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0024" cy="1080008"/>
                  </a:xfrm>
                  <a:prstGeom prst="rect">
                    <a:avLst/>
                  </a:prstGeom>
                </pic:spPr>
              </pic:pic>
            </a:graphicData>
          </a:graphic>
        </wp:inline>
      </w:drawing>
    </w:r>
  </w:p>
  <w:p w14:paraId="3CB24C0B" w14:textId="77777777" w:rsidR="00721E34" w:rsidRDefault="00721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2F71" w14:textId="77777777" w:rsidR="00A06961" w:rsidRDefault="00A06961">
    <w:pPr>
      <w:pStyle w:val="Header"/>
    </w:pPr>
    <w:r>
      <w:rPr>
        <w:noProof/>
      </w:rPr>
      <w:drawing>
        <wp:inline distT="0" distB="0" distL="0" distR="0" wp14:anchorId="5734B13B" wp14:editId="1B8007F1">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C23E4"/>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C0F88"/>
    <w:multiLevelType w:val="multilevel"/>
    <w:tmpl w:val="29F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50816"/>
    <w:multiLevelType w:val="hybridMultilevel"/>
    <w:tmpl w:val="CA801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C52D3D"/>
    <w:multiLevelType w:val="multilevel"/>
    <w:tmpl w:val="7AB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A3C48"/>
    <w:multiLevelType w:val="hybridMultilevel"/>
    <w:tmpl w:val="32183C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9B1787"/>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0E6986"/>
    <w:multiLevelType w:val="hybridMultilevel"/>
    <w:tmpl w:val="F3DA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45751"/>
    <w:multiLevelType w:val="hybridMultilevel"/>
    <w:tmpl w:val="6CBE24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C4C5B"/>
    <w:multiLevelType w:val="hybridMultilevel"/>
    <w:tmpl w:val="0FF8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F140DE"/>
    <w:multiLevelType w:val="hybridMultilevel"/>
    <w:tmpl w:val="81BE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C71E4"/>
    <w:multiLevelType w:val="multilevel"/>
    <w:tmpl w:val="1386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47529"/>
    <w:multiLevelType w:val="hybridMultilevel"/>
    <w:tmpl w:val="DDA8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E1DA4"/>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903A9"/>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D1FE7"/>
    <w:multiLevelType w:val="hybridMultilevel"/>
    <w:tmpl w:val="22206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D301F3"/>
    <w:multiLevelType w:val="multilevel"/>
    <w:tmpl w:val="E93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24C9"/>
    <w:multiLevelType w:val="multilevel"/>
    <w:tmpl w:val="E3B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52AA1"/>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296DD8"/>
    <w:multiLevelType w:val="hybridMultilevel"/>
    <w:tmpl w:val="AA8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D576B"/>
    <w:multiLevelType w:val="hybridMultilevel"/>
    <w:tmpl w:val="D92A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C60AD"/>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25169"/>
    <w:multiLevelType w:val="multilevel"/>
    <w:tmpl w:val="1FD4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53F61"/>
    <w:multiLevelType w:val="hybridMultilevel"/>
    <w:tmpl w:val="5ED0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A13C3"/>
    <w:multiLevelType w:val="hybridMultilevel"/>
    <w:tmpl w:val="A3AEF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D9593F"/>
    <w:multiLevelType w:val="hybridMultilevel"/>
    <w:tmpl w:val="21D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17C91"/>
    <w:multiLevelType w:val="hybridMultilevel"/>
    <w:tmpl w:val="525E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8"/>
  </w:num>
  <w:num w:numId="4" w16cid:durableId="1777670013">
    <w:abstractNumId w:val="12"/>
  </w:num>
  <w:num w:numId="5" w16cid:durableId="1190334263">
    <w:abstractNumId w:val="16"/>
  </w:num>
  <w:num w:numId="6" w16cid:durableId="74018812">
    <w:abstractNumId w:val="15"/>
  </w:num>
  <w:num w:numId="7" w16cid:durableId="1596403790">
    <w:abstractNumId w:val="10"/>
  </w:num>
  <w:num w:numId="8" w16cid:durableId="1602762380">
    <w:abstractNumId w:val="19"/>
  </w:num>
  <w:num w:numId="9" w16cid:durableId="1594557862">
    <w:abstractNumId w:val="28"/>
  </w:num>
  <w:num w:numId="10" w16cid:durableId="1664553464">
    <w:abstractNumId w:val="4"/>
  </w:num>
  <w:num w:numId="11" w16cid:durableId="2073697475">
    <w:abstractNumId w:val="9"/>
  </w:num>
  <w:num w:numId="12" w16cid:durableId="660543343">
    <w:abstractNumId w:val="11"/>
  </w:num>
  <w:num w:numId="13" w16cid:durableId="755903584">
    <w:abstractNumId w:val="29"/>
  </w:num>
  <w:num w:numId="14" w16cid:durableId="566188648">
    <w:abstractNumId w:val="30"/>
  </w:num>
  <w:num w:numId="15" w16cid:durableId="310720779">
    <w:abstractNumId w:val="27"/>
  </w:num>
  <w:num w:numId="16" w16cid:durableId="294410003">
    <w:abstractNumId w:val="24"/>
  </w:num>
  <w:num w:numId="17" w16cid:durableId="1022170275">
    <w:abstractNumId w:val="6"/>
  </w:num>
  <w:num w:numId="18" w16cid:durableId="1000111628">
    <w:abstractNumId w:val="23"/>
  </w:num>
  <w:num w:numId="19" w16cid:durableId="155919583">
    <w:abstractNumId w:val="13"/>
  </w:num>
  <w:num w:numId="20" w16cid:durableId="881401757">
    <w:abstractNumId w:val="18"/>
  </w:num>
  <w:num w:numId="21" w16cid:durableId="1962225338">
    <w:abstractNumId w:val="5"/>
  </w:num>
  <w:num w:numId="22" w16cid:durableId="178157264">
    <w:abstractNumId w:val="21"/>
  </w:num>
  <w:num w:numId="23" w16cid:durableId="1304968960">
    <w:abstractNumId w:val="20"/>
  </w:num>
  <w:num w:numId="24" w16cid:durableId="310907941">
    <w:abstractNumId w:val="14"/>
  </w:num>
  <w:num w:numId="25" w16cid:durableId="395709179">
    <w:abstractNumId w:val="3"/>
  </w:num>
  <w:num w:numId="26" w16cid:durableId="527304416">
    <w:abstractNumId w:val="2"/>
  </w:num>
  <w:num w:numId="27" w16cid:durableId="198903322">
    <w:abstractNumId w:val="25"/>
  </w:num>
  <w:num w:numId="28" w16cid:durableId="1373379544">
    <w:abstractNumId w:val="17"/>
  </w:num>
  <w:num w:numId="29" w16cid:durableId="436755090">
    <w:abstractNumId w:val="22"/>
  </w:num>
  <w:num w:numId="30" w16cid:durableId="1632856057">
    <w:abstractNumId w:val="26"/>
  </w:num>
  <w:num w:numId="31" w16cid:durableId="13297453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8F"/>
    <w:rsid w:val="00004E5E"/>
    <w:rsid w:val="00010AEE"/>
    <w:rsid w:val="00011577"/>
    <w:rsid w:val="0001386B"/>
    <w:rsid w:val="00023CAE"/>
    <w:rsid w:val="000247AA"/>
    <w:rsid w:val="00027076"/>
    <w:rsid w:val="00027853"/>
    <w:rsid w:val="00031254"/>
    <w:rsid w:val="0003227F"/>
    <w:rsid w:val="000374E6"/>
    <w:rsid w:val="00041244"/>
    <w:rsid w:val="00043D85"/>
    <w:rsid w:val="00050EDD"/>
    <w:rsid w:val="00051744"/>
    <w:rsid w:val="00056BBA"/>
    <w:rsid w:val="00056DFD"/>
    <w:rsid w:val="0006218F"/>
    <w:rsid w:val="000625CE"/>
    <w:rsid w:val="00064BFD"/>
    <w:rsid w:val="00065E09"/>
    <w:rsid w:val="00075DDB"/>
    <w:rsid w:val="0007677B"/>
    <w:rsid w:val="00080DD4"/>
    <w:rsid w:val="000820D2"/>
    <w:rsid w:val="00083A80"/>
    <w:rsid w:val="000918D3"/>
    <w:rsid w:val="000921B6"/>
    <w:rsid w:val="0009525B"/>
    <w:rsid w:val="00095738"/>
    <w:rsid w:val="000968D8"/>
    <w:rsid w:val="000A7011"/>
    <w:rsid w:val="000B45C8"/>
    <w:rsid w:val="000B67E5"/>
    <w:rsid w:val="000C17DB"/>
    <w:rsid w:val="000D4ADA"/>
    <w:rsid w:val="000D5901"/>
    <w:rsid w:val="000E146C"/>
    <w:rsid w:val="000E475F"/>
    <w:rsid w:val="000E562F"/>
    <w:rsid w:val="000E707F"/>
    <w:rsid w:val="00101508"/>
    <w:rsid w:val="00103F8C"/>
    <w:rsid w:val="00112B55"/>
    <w:rsid w:val="00113612"/>
    <w:rsid w:val="00114269"/>
    <w:rsid w:val="001155E8"/>
    <w:rsid w:val="0011715D"/>
    <w:rsid w:val="00121C1E"/>
    <w:rsid w:val="00142F9A"/>
    <w:rsid w:val="001439ED"/>
    <w:rsid w:val="00144C83"/>
    <w:rsid w:val="00147535"/>
    <w:rsid w:val="00147A4B"/>
    <w:rsid w:val="00152079"/>
    <w:rsid w:val="0016182F"/>
    <w:rsid w:val="00162EEA"/>
    <w:rsid w:val="0016781F"/>
    <w:rsid w:val="00184665"/>
    <w:rsid w:val="001910A8"/>
    <w:rsid w:val="00194FD8"/>
    <w:rsid w:val="00195AD9"/>
    <w:rsid w:val="001B44A9"/>
    <w:rsid w:val="001C0A32"/>
    <w:rsid w:val="001C1029"/>
    <w:rsid w:val="001D6083"/>
    <w:rsid w:val="001E25A7"/>
    <w:rsid w:val="001E33E0"/>
    <w:rsid w:val="001E6273"/>
    <w:rsid w:val="001E6E44"/>
    <w:rsid w:val="002113E4"/>
    <w:rsid w:val="00212B35"/>
    <w:rsid w:val="002154C2"/>
    <w:rsid w:val="002175B3"/>
    <w:rsid w:val="00217CC9"/>
    <w:rsid w:val="00223996"/>
    <w:rsid w:val="00223A85"/>
    <w:rsid w:val="00223C88"/>
    <w:rsid w:val="002336BA"/>
    <w:rsid w:val="00234776"/>
    <w:rsid w:val="002404E7"/>
    <w:rsid w:val="002429D5"/>
    <w:rsid w:val="00242A41"/>
    <w:rsid w:val="00243209"/>
    <w:rsid w:val="0025304B"/>
    <w:rsid w:val="00256440"/>
    <w:rsid w:val="00272137"/>
    <w:rsid w:val="00276CBA"/>
    <w:rsid w:val="002813CE"/>
    <w:rsid w:val="00282344"/>
    <w:rsid w:val="0028295A"/>
    <w:rsid w:val="00283495"/>
    <w:rsid w:val="00284280"/>
    <w:rsid w:val="00286047"/>
    <w:rsid w:val="002924F5"/>
    <w:rsid w:val="0029378A"/>
    <w:rsid w:val="002A4605"/>
    <w:rsid w:val="002C51E8"/>
    <w:rsid w:val="002C5FB0"/>
    <w:rsid w:val="002E1ACD"/>
    <w:rsid w:val="002E49B5"/>
    <w:rsid w:val="002E7CAA"/>
    <w:rsid w:val="002F4E3F"/>
    <w:rsid w:val="002F5B77"/>
    <w:rsid w:val="002F6DD0"/>
    <w:rsid w:val="003025D1"/>
    <w:rsid w:val="00304ED7"/>
    <w:rsid w:val="0030587C"/>
    <w:rsid w:val="003062FB"/>
    <w:rsid w:val="00314A9F"/>
    <w:rsid w:val="00317C9C"/>
    <w:rsid w:val="0032645E"/>
    <w:rsid w:val="003309AD"/>
    <w:rsid w:val="0033162D"/>
    <w:rsid w:val="0033216F"/>
    <w:rsid w:val="00332A12"/>
    <w:rsid w:val="00334F60"/>
    <w:rsid w:val="00344D4E"/>
    <w:rsid w:val="00347E31"/>
    <w:rsid w:val="00351CA9"/>
    <w:rsid w:val="0035602E"/>
    <w:rsid w:val="003649E3"/>
    <w:rsid w:val="00364B4C"/>
    <w:rsid w:val="00383140"/>
    <w:rsid w:val="0038352C"/>
    <w:rsid w:val="003875F9"/>
    <w:rsid w:val="00387B55"/>
    <w:rsid w:val="00397767"/>
    <w:rsid w:val="003A3315"/>
    <w:rsid w:val="003B4FB9"/>
    <w:rsid w:val="003C5AAF"/>
    <w:rsid w:val="003D1292"/>
    <w:rsid w:val="003D4534"/>
    <w:rsid w:val="003F1948"/>
    <w:rsid w:val="003F6A48"/>
    <w:rsid w:val="003F7AB2"/>
    <w:rsid w:val="003F7AB6"/>
    <w:rsid w:val="00401C61"/>
    <w:rsid w:val="00407A73"/>
    <w:rsid w:val="004159D0"/>
    <w:rsid w:val="004168F4"/>
    <w:rsid w:val="00416918"/>
    <w:rsid w:val="00417872"/>
    <w:rsid w:val="00423239"/>
    <w:rsid w:val="00423F97"/>
    <w:rsid w:val="00425801"/>
    <w:rsid w:val="00430C91"/>
    <w:rsid w:val="004361AA"/>
    <w:rsid w:val="00437E25"/>
    <w:rsid w:val="0044019D"/>
    <w:rsid w:val="00454680"/>
    <w:rsid w:val="00457D18"/>
    <w:rsid w:val="00457EFE"/>
    <w:rsid w:val="004624E3"/>
    <w:rsid w:val="00467C94"/>
    <w:rsid w:val="0047521E"/>
    <w:rsid w:val="0048173C"/>
    <w:rsid w:val="004A1B14"/>
    <w:rsid w:val="004A1DC9"/>
    <w:rsid w:val="004A6E86"/>
    <w:rsid w:val="004A7280"/>
    <w:rsid w:val="004A7DF4"/>
    <w:rsid w:val="004B6F74"/>
    <w:rsid w:val="004C00E2"/>
    <w:rsid w:val="004C207E"/>
    <w:rsid w:val="004C2AC7"/>
    <w:rsid w:val="004C554C"/>
    <w:rsid w:val="004C6AC3"/>
    <w:rsid w:val="004D0C86"/>
    <w:rsid w:val="004D3AED"/>
    <w:rsid w:val="004E154D"/>
    <w:rsid w:val="004E1A5B"/>
    <w:rsid w:val="004E2D6D"/>
    <w:rsid w:val="004F3F59"/>
    <w:rsid w:val="004F4DA7"/>
    <w:rsid w:val="004F6395"/>
    <w:rsid w:val="004F68EA"/>
    <w:rsid w:val="00500294"/>
    <w:rsid w:val="00501B6C"/>
    <w:rsid w:val="00501E99"/>
    <w:rsid w:val="00502A60"/>
    <w:rsid w:val="00506487"/>
    <w:rsid w:val="00516CF8"/>
    <w:rsid w:val="00522D1A"/>
    <w:rsid w:val="00527642"/>
    <w:rsid w:val="00542CF7"/>
    <w:rsid w:val="00545556"/>
    <w:rsid w:val="00550052"/>
    <w:rsid w:val="0056317E"/>
    <w:rsid w:val="00571F41"/>
    <w:rsid w:val="00572D73"/>
    <w:rsid w:val="00575BD9"/>
    <w:rsid w:val="005862F9"/>
    <w:rsid w:val="0058696D"/>
    <w:rsid w:val="00591227"/>
    <w:rsid w:val="00592772"/>
    <w:rsid w:val="00596E83"/>
    <w:rsid w:val="005A26E7"/>
    <w:rsid w:val="005B121D"/>
    <w:rsid w:val="005B45D1"/>
    <w:rsid w:val="005C18DF"/>
    <w:rsid w:val="005C267B"/>
    <w:rsid w:val="005C3ED7"/>
    <w:rsid w:val="005C5273"/>
    <w:rsid w:val="005C746F"/>
    <w:rsid w:val="005D6EFB"/>
    <w:rsid w:val="005E370A"/>
    <w:rsid w:val="005E419A"/>
    <w:rsid w:val="005F03FB"/>
    <w:rsid w:val="005F13ED"/>
    <w:rsid w:val="005F1BDB"/>
    <w:rsid w:val="005F2163"/>
    <w:rsid w:val="006033B4"/>
    <w:rsid w:val="006050AF"/>
    <w:rsid w:val="00605E19"/>
    <w:rsid w:val="0061223B"/>
    <w:rsid w:val="00614510"/>
    <w:rsid w:val="00630E66"/>
    <w:rsid w:val="00631BE0"/>
    <w:rsid w:val="00634D74"/>
    <w:rsid w:val="00635298"/>
    <w:rsid w:val="0063670A"/>
    <w:rsid w:val="00653BA0"/>
    <w:rsid w:val="006638A1"/>
    <w:rsid w:val="00664004"/>
    <w:rsid w:val="0066635D"/>
    <w:rsid w:val="00667FDB"/>
    <w:rsid w:val="00672092"/>
    <w:rsid w:val="00672321"/>
    <w:rsid w:val="00674844"/>
    <w:rsid w:val="00676D8E"/>
    <w:rsid w:val="0068259B"/>
    <w:rsid w:val="00686EEF"/>
    <w:rsid w:val="00690130"/>
    <w:rsid w:val="006A1B80"/>
    <w:rsid w:val="006B27DC"/>
    <w:rsid w:val="006C601C"/>
    <w:rsid w:val="006C65D5"/>
    <w:rsid w:val="006D6FEB"/>
    <w:rsid w:val="006E435E"/>
    <w:rsid w:val="006E6191"/>
    <w:rsid w:val="006F1CB1"/>
    <w:rsid w:val="006F4BC0"/>
    <w:rsid w:val="007140AC"/>
    <w:rsid w:val="007140EA"/>
    <w:rsid w:val="007147FF"/>
    <w:rsid w:val="007161D4"/>
    <w:rsid w:val="00716EC0"/>
    <w:rsid w:val="007205C3"/>
    <w:rsid w:val="00721492"/>
    <w:rsid w:val="00721E34"/>
    <w:rsid w:val="00734632"/>
    <w:rsid w:val="00734701"/>
    <w:rsid w:val="00737119"/>
    <w:rsid w:val="00737B5D"/>
    <w:rsid w:val="007404B8"/>
    <w:rsid w:val="00746EF8"/>
    <w:rsid w:val="00751C35"/>
    <w:rsid w:val="007522A3"/>
    <w:rsid w:val="0076405D"/>
    <w:rsid w:val="0076500F"/>
    <w:rsid w:val="00766B21"/>
    <w:rsid w:val="00766C75"/>
    <w:rsid w:val="00767650"/>
    <w:rsid w:val="0077178D"/>
    <w:rsid w:val="007726E4"/>
    <w:rsid w:val="00774A80"/>
    <w:rsid w:val="00783B1E"/>
    <w:rsid w:val="00792FD1"/>
    <w:rsid w:val="00796537"/>
    <w:rsid w:val="007A06A3"/>
    <w:rsid w:val="007A128F"/>
    <w:rsid w:val="007A4F93"/>
    <w:rsid w:val="007B22B1"/>
    <w:rsid w:val="007B377A"/>
    <w:rsid w:val="007B4D66"/>
    <w:rsid w:val="007B5B1D"/>
    <w:rsid w:val="007B6B7A"/>
    <w:rsid w:val="007C01A6"/>
    <w:rsid w:val="007C15A6"/>
    <w:rsid w:val="007C2878"/>
    <w:rsid w:val="007C28EF"/>
    <w:rsid w:val="007C5273"/>
    <w:rsid w:val="007C7087"/>
    <w:rsid w:val="007D027D"/>
    <w:rsid w:val="007D15B8"/>
    <w:rsid w:val="007D3CD4"/>
    <w:rsid w:val="007D591A"/>
    <w:rsid w:val="007E0421"/>
    <w:rsid w:val="007E15AE"/>
    <w:rsid w:val="007E40F4"/>
    <w:rsid w:val="007E7EE0"/>
    <w:rsid w:val="007F082D"/>
    <w:rsid w:val="007F4002"/>
    <w:rsid w:val="007F4767"/>
    <w:rsid w:val="00802B19"/>
    <w:rsid w:val="008039E3"/>
    <w:rsid w:val="008050C7"/>
    <w:rsid w:val="008166D8"/>
    <w:rsid w:val="00831100"/>
    <w:rsid w:val="00833A75"/>
    <w:rsid w:val="008359FA"/>
    <w:rsid w:val="00845EE0"/>
    <w:rsid w:val="0085104A"/>
    <w:rsid w:val="00852E8E"/>
    <w:rsid w:val="008532AD"/>
    <w:rsid w:val="0085499B"/>
    <w:rsid w:val="0087477A"/>
    <w:rsid w:val="008756A4"/>
    <w:rsid w:val="00876458"/>
    <w:rsid w:val="00883DBA"/>
    <w:rsid w:val="0089626C"/>
    <w:rsid w:val="008A2F84"/>
    <w:rsid w:val="008A5F0C"/>
    <w:rsid w:val="008B0CC2"/>
    <w:rsid w:val="008D04DA"/>
    <w:rsid w:val="008D0ACD"/>
    <w:rsid w:val="008D4263"/>
    <w:rsid w:val="008D50C0"/>
    <w:rsid w:val="008D7BB1"/>
    <w:rsid w:val="008E7132"/>
    <w:rsid w:val="008F09D2"/>
    <w:rsid w:val="008F2075"/>
    <w:rsid w:val="008F4E48"/>
    <w:rsid w:val="00900144"/>
    <w:rsid w:val="00902240"/>
    <w:rsid w:val="0090262B"/>
    <w:rsid w:val="00903C57"/>
    <w:rsid w:val="00906792"/>
    <w:rsid w:val="0091503C"/>
    <w:rsid w:val="009331EB"/>
    <w:rsid w:val="009349FF"/>
    <w:rsid w:val="00944179"/>
    <w:rsid w:val="00946AE2"/>
    <w:rsid w:val="00947383"/>
    <w:rsid w:val="009476D0"/>
    <w:rsid w:val="00950E89"/>
    <w:rsid w:val="00950FBD"/>
    <w:rsid w:val="009518A0"/>
    <w:rsid w:val="0095600F"/>
    <w:rsid w:val="009574CB"/>
    <w:rsid w:val="0096474A"/>
    <w:rsid w:val="00964EA6"/>
    <w:rsid w:val="00970097"/>
    <w:rsid w:val="00971F5B"/>
    <w:rsid w:val="00983AE5"/>
    <w:rsid w:val="00985DC7"/>
    <w:rsid w:val="00987557"/>
    <w:rsid w:val="009875C3"/>
    <w:rsid w:val="00990563"/>
    <w:rsid w:val="00990937"/>
    <w:rsid w:val="009949FD"/>
    <w:rsid w:val="00995092"/>
    <w:rsid w:val="009953EB"/>
    <w:rsid w:val="00996EE1"/>
    <w:rsid w:val="009A2328"/>
    <w:rsid w:val="009A43C5"/>
    <w:rsid w:val="009A77C3"/>
    <w:rsid w:val="009B0F57"/>
    <w:rsid w:val="009B522A"/>
    <w:rsid w:val="009C15B1"/>
    <w:rsid w:val="009C2DBA"/>
    <w:rsid w:val="009C7979"/>
    <w:rsid w:val="009C7E6C"/>
    <w:rsid w:val="009C7F81"/>
    <w:rsid w:val="009D2903"/>
    <w:rsid w:val="009D2BFC"/>
    <w:rsid w:val="009E1074"/>
    <w:rsid w:val="009E349E"/>
    <w:rsid w:val="009E5B04"/>
    <w:rsid w:val="009F5F86"/>
    <w:rsid w:val="00A06961"/>
    <w:rsid w:val="00A10ADE"/>
    <w:rsid w:val="00A12466"/>
    <w:rsid w:val="00A15A5A"/>
    <w:rsid w:val="00A24A74"/>
    <w:rsid w:val="00A260C2"/>
    <w:rsid w:val="00A27F7D"/>
    <w:rsid w:val="00A30D77"/>
    <w:rsid w:val="00A3175C"/>
    <w:rsid w:val="00A317DF"/>
    <w:rsid w:val="00A338F6"/>
    <w:rsid w:val="00A34102"/>
    <w:rsid w:val="00A3439B"/>
    <w:rsid w:val="00A36F03"/>
    <w:rsid w:val="00A41C62"/>
    <w:rsid w:val="00A50DFC"/>
    <w:rsid w:val="00A518FC"/>
    <w:rsid w:val="00A5485C"/>
    <w:rsid w:val="00A71383"/>
    <w:rsid w:val="00A74E8A"/>
    <w:rsid w:val="00A75AD4"/>
    <w:rsid w:val="00A76916"/>
    <w:rsid w:val="00A7695D"/>
    <w:rsid w:val="00A778E5"/>
    <w:rsid w:val="00A81B83"/>
    <w:rsid w:val="00A86210"/>
    <w:rsid w:val="00A94596"/>
    <w:rsid w:val="00AA122C"/>
    <w:rsid w:val="00AA4606"/>
    <w:rsid w:val="00AA6841"/>
    <w:rsid w:val="00AA7864"/>
    <w:rsid w:val="00AA7E55"/>
    <w:rsid w:val="00AB1242"/>
    <w:rsid w:val="00AB7DDE"/>
    <w:rsid w:val="00AC6797"/>
    <w:rsid w:val="00AD26C1"/>
    <w:rsid w:val="00AD295E"/>
    <w:rsid w:val="00AD3C3A"/>
    <w:rsid w:val="00AE07A8"/>
    <w:rsid w:val="00AF0FB9"/>
    <w:rsid w:val="00AF50F3"/>
    <w:rsid w:val="00AF5F23"/>
    <w:rsid w:val="00B10C06"/>
    <w:rsid w:val="00B125B2"/>
    <w:rsid w:val="00B141A5"/>
    <w:rsid w:val="00B369C6"/>
    <w:rsid w:val="00B415F9"/>
    <w:rsid w:val="00B46184"/>
    <w:rsid w:val="00B676E0"/>
    <w:rsid w:val="00B71BF6"/>
    <w:rsid w:val="00B75DE0"/>
    <w:rsid w:val="00B800CB"/>
    <w:rsid w:val="00B811C0"/>
    <w:rsid w:val="00B82019"/>
    <w:rsid w:val="00B87874"/>
    <w:rsid w:val="00B87957"/>
    <w:rsid w:val="00B91AD9"/>
    <w:rsid w:val="00BA377E"/>
    <w:rsid w:val="00BA5169"/>
    <w:rsid w:val="00BA7E5A"/>
    <w:rsid w:val="00BB0042"/>
    <w:rsid w:val="00BB721C"/>
    <w:rsid w:val="00BC235D"/>
    <w:rsid w:val="00BC2897"/>
    <w:rsid w:val="00BC362F"/>
    <w:rsid w:val="00BC5D03"/>
    <w:rsid w:val="00BC7E88"/>
    <w:rsid w:val="00BD164F"/>
    <w:rsid w:val="00BD5F2B"/>
    <w:rsid w:val="00BD7B09"/>
    <w:rsid w:val="00BF0261"/>
    <w:rsid w:val="00BF2D1C"/>
    <w:rsid w:val="00BF314B"/>
    <w:rsid w:val="00C007DC"/>
    <w:rsid w:val="00C03FE9"/>
    <w:rsid w:val="00C04F2A"/>
    <w:rsid w:val="00C05ED6"/>
    <w:rsid w:val="00C06022"/>
    <w:rsid w:val="00C1385D"/>
    <w:rsid w:val="00C1496B"/>
    <w:rsid w:val="00C168CA"/>
    <w:rsid w:val="00C20FEB"/>
    <w:rsid w:val="00C23E63"/>
    <w:rsid w:val="00C32F29"/>
    <w:rsid w:val="00C33896"/>
    <w:rsid w:val="00C3561D"/>
    <w:rsid w:val="00C36464"/>
    <w:rsid w:val="00C54FCB"/>
    <w:rsid w:val="00C6289F"/>
    <w:rsid w:val="00C72D54"/>
    <w:rsid w:val="00C72E5B"/>
    <w:rsid w:val="00C75F04"/>
    <w:rsid w:val="00C852C6"/>
    <w:rsid w:val="00C92065"/>
    <w:rsid w:val="00C94228"/>
    <w:rsid w:val="00CA2D0E"/>
    <w:rsid w:val="00CB5E6E"/>
    <w:rsid w:val="00CD2AC6"/>
    <w:rsid w:val="00D06CD4"/>
    <w:rsid w:val="00D11C6E"/>
    <w:rsid w:val="00D11D1C"/>
    <w:rsid w:val="00D13001"/>
    <w:rsid w:val="00D20A22"/>
    <w:rsid w:val="00D2129F"/>
    <w:rsid w:val="00D30FBF"/>
    <w:rsid w:val="00D32CA0"/>
    <w:rsid w:val="00D37431"/>
    <w:rsid w:val="00D418B7"/>
    <w:rsid w:val="00D425DE"/>
    <w:rsid w:val="00D43781"/>
    <w:rsid w:val="00D447E4"/>
    <w:rsid w:val="00D51871"/>
    <w:rsid w:val="00D5233A"/>
    <w:rsid w:val="00D64D16"/>
    <w:rsid w:val="00D666A0"/>
    <w:rsid w:val="00D728CB"/>
    <w:rsid w:val="00D74792"/>
    <w:rsid w:val="00D83A73"/>
    <w:rsid w:val="00D8498F"/>
    <w:rsid w:val="00D86978"/>
    <w:rsid w:val="00D90147"/>
    <w:rsid w:val="00DA0A0C"/>
    <w:rsid w:val="00DA1F4B"/>
    <w:rsid w:val="00DA3A09"/>
    <w:rsid w:val="00DA7AFB"/>
    <w:rsid w:val="00DC1705"/>
    <w:rsid w:val="00DD1A5E"/>
    <w:rsid w:val="00DE0227"/>
    <w:rsid w:val="00DE2793"/>
    <w:rsid w:val="00DF5CB5"/>
    <w:rsid w:val="00DF7AE6"/>
    <w:rsid w:val="00E04411"/>
    <w:rsid w:val="00E14C3B"/>
    <w:rsid w:val="00E16788"/>
    <w:rsid w:val="00E169CC"/>
    <w:rsid w:val="00E2082F"/>
    <w:rsid w:val="00E20A15"/>
    <w:rsid w:val="00E236A5"/>
    <w:rsid w:val="00E268AF"/>
    <w:rsid w:val="00E338D7"/>
    <w:rsid w:val="00E37413"/>
    <w:rsid w:val="00E3784C"/>
    <w:rsid w:val="00E444A8"/>
    <w:rsid w:val="00E47623"/>
    <w:rsid w:val="00E55800"/>
    <w:rsid w:val="00E6089C"/>
    <w:rsid w:val="00E62049"/>
    <w:rsid w:val="00E65F13"/>
    <w:rsid w:val="00E66B90"/>
    <w:rsid w:val="00E71B4A"/>
    <w:rsid w:val="00E8594E"/>
    <w:rsid w:val="00E92B8F"/>
    <w:rsid w:val="00EA24D1"/>
    <w:rsid w:val="00EA297D"/>
    <w:rsid w:val="00EA3BF6"/>
    <w:rsid w:val="00EA6BF3"/>
    <w:rsid w:val="00EB2EA7"/>
    <w:rsid w:val="00EC38B1"/>
    <w:rsid w:val="00EC69A4"/>
    <w:rsid w:val="00ED6EA3"/>
    <w:rsid w:val="00EE0B50"/>
    <w:rsid w:val="00EE5926"/>
    <w:rsid w:val="00EE70A0"/>
    <w:rsid w:val="00EF1AA4"/>
    <w:rsid w:val="00EF5301"/>
    <w:rsid w:val="00F04F2C"/>
    <w:rsid w:val="00F201A1"/>
    <w:rsid w:val="00F307BB"/>
    <w:rsid w:val="00F36511"/>
    <w:rsid w:val="00F4484A"/>
    <w:rsid w:val="00F47264"/>
    <w:rsid w:val="00F527DD"/>
    <w:rsid w:val="00F560D8"/>
    <w:rsid w:val="00F56D21"/>
    <w:rsid w:val="00F57C91"/>
    <w:rsid w:val="00F61D1B"/>
    <w:rsid w:val="00F666DF"/>
    <w:rsid w:val="00F72908"/>
    <w:rsid w:val="00F75A84"/>
    <w:rsid w:val="00F77377"/>
    <w:rsid w:val="00F805C4"/>
    <w:rsid w:val="00F81089"/>
    <w:rsid w:val="00F83594"/>
    <w:rsid w:val="00F83ED8"/>
    <w:rsid w:val="00F8789B"/>
    <w:rsid w:val="00F928E8"/>
    <w:rsid w:val="00F97982"/>
    <w:rsid w:val="00FA1BDA"/>
    <w:rsid w:val="00FA6E84"/>
    <w:rsid w:val="00FB31F5"/>
    <w:rsid w:val="00FC1DB8"/>
    <w:rsid w:val="00FD4BC6"/>
    <w:rsid w:val="00FE58FA"/>
    <w:rsid w:val="00FE7E28"/>
    <w:rsid w:val="00FF3514"/>
    <w:rsid w:val="00FF4C61"/>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3BBC"/>
  <w15:chartTrackingRefBased/>
  <w15:docId w15:val="{F7CA1840-BBF4-4C8E-9C6C-028BDD1C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next w:val="Normal"/>
    <w:link w:val="Heading1Char"/>
    <w:uiPriority w:val="9"/>
    <w:qFormat/>
    <w:rsid w:val="00D8498F"/>
    <w:pPr>
      <w:keepNext/>
      <w:keepLines/>
      <w:pBdr>
        <w:bottom w:val="single" w:sz="4" w:space="1" w:color="FF6D3A" w:themeColor="accent1"/>
      </w:pBdr>
      <w:spacing w:before="400" w:after="40" w:line="240" w:lineRule="auto"/>
      <w:outlineLvl w:val="0"/>
    </w:pPr>
    <w:rPr>
      <w:rFonts w:asciiTheme="majorHAnsi" w:eastAsiaTheme="majorEastAsia" w:hAnsiTheme="majorHAnsi" w:cstheme="majorBidi"/>
      <w:color w:val="EA3C00" w:themeColor="accent1" w:themeShade="BF"/>
      <w:sz w:val="36"/>
      <w:szCs w:val="36"/>
      <w:lang w:eastAsia="en-GB"/>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paragraph" w:styleId="Heading3">
    <w:name w:val="heading 3"/>
    <w:basedOn w:val="Normal"/>
    <w:next w:val="Normal"/>
    <w:link w:val="Heading3Char"/>
    <w:autoRedefine/>
    <w:uiPriority w:val="9"/>
    <w:unhideWhenUsed/>
    <w:qFormat/>
    <w:rsid w:val="00900144"/>
    <w:pPr>
      <w:keepNext/>
      <w:keepLines/>
      <w:spacing w:before="0" w:after="0" w:line="240" w:lineRule="auto"/>
      <w:ind w:right="113"/>
      <w:outlineLvl w:val="2"/>
    </w:pPr>
    <w:rPr>
      <w:rFonts w:asciiTheme="majorHAnsi" w:eastAsia="Times New Roman" w:hAnsiTheme="majorHAnsi" w:cstheme="majorBidi"/>
      <w:b/>
      <w:bCs/>
      <w:color w:val="EA3C00" w:themeColor="accent1" w:themeShade="BF"/>
      <w:sz w:val="24"/>
      <w:szCs w:val="24"/>
      <w:lang w:eastAsia="en-GB"/>
    </w:rPr>
  </w:style>
  <w:style w:type="paragraph" w:styleId="Heading4">
    <w:name w:val="heading 4"/>
    <w:basedOn w:val="Normal"/>
    <w:next w:val="Normal"/>
    <w:link w:val="Heading4Char"/>
    <w:uiPriority w:val="9"/>
    <w:unhideWhenUsed/>
    <w:qFormat/>
    <w:rsid w:val="00D8498F"/>
    <w:pPr>
      <w:keepNext/>
      <w:keepLines/>
      <w:spacing w:before="80" w:after="0" w:line="264" w:lineRule="auto"/>
      <w:outlineLvl w:val="3"/>
    </w:pPr>
    <w:rPr>
      <w:rFonts w:asciiTheme="majorHAnsi" w:eastAsiaTheme="majorEastAsia" w:hAnsiTheme="majorHAnsi" w:cstheme="majorBidi"/>
      <w:color w:val="auto"/>
      <w:sz w:val="24"/>
      <w:szCs w:val="24"/>
      <w:lang w:eastAsia="en-GB"/>
    </w:rPr>
  </w:style>
  <w:style w:type="paragraph" w:styleId="Heading5">
    <w:name w:val="heading 5"/>
    <w:basedOn w:val="Normal"/>
    <w:next w:val="Normal"/>
    <w:link w:val="Heading5Char"/>
    <w:uiPriority w:val="9"/>
    <w:semiHidden/>
    <w:unhideWhenUsed/>
    <w:qFormat/>
    <w:rsid w:val="00D8498F"/>
    <w:pPr>
      <w:keepNext/>
      <w:keepLines/>
      <w:spacing w:before="80" w:after="0" w:line="264" w:lineRule="auto"/>
      <w:outlineLvl w:val="4"/>
    </w:pPr>
    <w:rPr>
      <w:rFonts w:asciiTheme="majorHAnsi" w:eastAsiaTheme="majorEastAsia" w:hAnsiTheme="majorHAnsi" w:cstheme="majorBidi"/>
      <w:i/>
      <w:iCs/>
      <w:color w:val="auto"/>
      <w:lang w:eastAsia="en-GB"/>
    </w:rPr>
  </w:style>
  <w:style w:type="paragraph" w:styleId="Heading6">
    <w:name w:val="heading 6"/>
    <w:basedOn w:val="Normal"/>
    <w:next w:val="Normal"/>
    <w:link w:val="Heading6Char"/>
    <w:uiPriority w:val="9"/>
    <w:semiHidden/>
    <w:unhideWhenUsed/>
    <w:qFormat/>
    <w:rsid w:val="00D8498F"/>
    <w:pPr>
      <w:keepNext/>
      <w:keepLines/>
      <w:spacing w:before="80" w:after="0" w:line="264" w:lineRule="auto"/>
      <w:outlineLvl w:val="5"/>
    </w:pPr>
    <w:rPr>
      <w:rFonts w:asciiTheme="majorHAnsi" w:eastAsiaTheme="majorEastAsia" w:hAnsiTheme="majorHAnsi" w:cstheme="majorBidi"/>
      <w:color w:val="39A6FF" w:themeColor="text1" w:themeTint="A6"/>
      <w:sz w:val="24"/>
      <w:szCs w:val="21"/>
      <w:lang w:eastAsia="en-GB"/>
    </w:rPr>
  </w:style>
  <w:style w:type="paragraph" w:styleId="Heading7">
    <w:name w:val="heading 7"/>
    <w:basedOn w:val="Normal"/>
    <w:next w:val="Normal"/>
    <w:link w:val="Heading7Char"/>
    <w:uiPriority w:val="9"/>
    <w:semiHidden/>
    <w:unhideWhenUsed/>
    <w:qFormat/>
    <w:rsid w:val="00D8498F"/>
    <w:pPr>
      <w:keepNext/>
      <w:keepLines/>
      <w:spacing w:before="80" w:after="0" w:line="264" w:lineRule="auto"/>
      <w:outlineLvl w:val="6"/>
    </w:pPr>
    <w:rPr>
      <w:rFonts w:asciiTheme="majorHAnsi" w:eastAsiaTheme="majorEastAsia" w:hAnsiTheme="majorHAnsi" w:cstheme="majorBidi"/>
      <w:i/>
      <w:iCs/>
      <w:color w:val="39A6FF" w:themeColor="text1" w:themeTint="A6"/>
      <w:sz w:val="24"/>
      <w:szCs w:val="21"/>
      <w:lang w:eastAsia="en-GB"/>
    </w:rPr>
  </w:style>
  <w:style w:type="paragraph" w:styleId="Heading8">
    <w:name w:val="heading 8"/>
    <w:basedOn w:val="Normal"/>
    <w:next w:val="Normal"/>
    <w:link w:val="Heading8Char"/>
    <w:uiPriority w:val="9"/>
    <w:semiHidden/>
    <w:unhideWhenUsed/>
    <w:qFormat/>
    <w:rsid w:val="00D8498F"/>
    <w:pPr>
      <w:keepNext/>
      <w:keepLines/>
      <w:spacing w:before="80" w:after="0" w:line="264" w:lineRule="auto"/>
      <w:outlineLvl w:val="7"/>
    </w:pPr>
    <w:rPr>
      <w:rFonts w:asciiTheme="majorHAnsi" w:eastAsiaTheme="majorEastAsia" w:hAnsiTheme="majorHAnsi" w:cstheme="majorBidi"/>
      <w:smallCaps/>
      <w:color w:val="39A6FF" w:themeColor="text1" w:themeTint="A6"/>
      <w:sz w:val="24"/>
      <w:szCs w:val="21"/>
      <w:lang w:eastAsia="en-GB"/>
    </w:rPr>
  </w:style>
  <w:style w:type="paragraph" w:styleId="Heading9">
    <w:name w:val="heading 9"/>
    <w:basedOn w:val="Normal"/>
    <w:next w:val="Normal"/>
    <w:link w:val="Heading9Char"/>
    <w:uiPriority w:val="9"/>
    <w:semiHidden/>
    <w:unhideWhenUsed/>
    <w:qFormat/>
    <w:rsid w:val="00D8498F"/>
    <w:pPr>
      <w:keepNext/>
      <w:keepLines/>
      <w:spacing w:before="80" w:after="0" w:line="264" w:lineRule="auto"/>
      <w:outlineLvl w:val="8"/>
    </w:pPr>
    <w:rPr>
      <w:rFonts w:asciiTheme="majorHAnsi" w:eastAsiaTheme="majorEastAsia" w:hAnsiTheme="majorHAnsi" w:cstheme="majorBidi"/>
      <w:i/>
      <w:iCs/>
      <w:smallCaps/>
      <w:color w:val="39A6FF" w:themeColor="text1" w:themeTint="A6"/>
      <w:sz w:val="24"/>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5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D8498F"/>
    <w:rPr>
      <w:rFonts w:asciiTheme="majorHAnsi" w:eastAsiaTheme="majorEastAsia" w:hAnsiTheme="majorHAnsi" w:cstheme="majorBidi"/>
      <w:color w:val="EA3C00" w:themeColor="accent1" w:themeShade="BF"/>
      <w:sz w:val="36"/>
      <w:szCs w:val="36"/>
      <w:lang w:eastAsia="en-GB"/>
    </w:rPr>
  </w:style>
  <w:style w:type="character" w:customStyle="1" w:styleId="Heading3Char">
    <w:name w:val="Heading 3 Char"/>
    <w:basedOn w:val="DefaultParagraphFont"/>
    <w:link w:val="Heading3"/>
    <w:uiPriority w:val="9"/>
    <w:rsid w:val="00900144"/>
    <w:rPr>
      <w:rFonts w:asciiTheme="majorHAnsi" w:eastAsia="Times New Roman" w:hAnsiTheme="majorHAnsi" w:cstheme="majorBidi"/>
      <w:b/>
      <w:bCs/>
      <w:color w:val="EA3C00" w:themeColor="accent1" w:themeShade="BF"/>
      <w:lang w:eastAsia="en-GB"/>
    </w:rPr>
  </w:style>
  <w:style w:type="character" w:customStyle="1" w:styleId="Heading4Char">
    <w:name w:val="Heading 4 Char"/>
    <w:basedOn w:val="DefaultParagraphFont"/>
    <w:link w:val="Heading4"/>
    <w:uiPriority w:val="9"/>
    <w:rsid w:val="00D8498F"/>
    <w:rPr>
      <w:rFonts w:asciiTheme="majorHAnsi" w:eastAsiaTheme="majorEastAsia" w:hAnsiTheme="majorHAnsi" w:cstheme="majorBidi"/>
      <w:lang w:eastAsia="en-GB"/>
    </w:rPr>
  </w:style>
  <w:style w:type="character" w:customStyle="1" w:styleId="Heading5Char">
    <w:name w:val="Heading 5 Char"/>
    <w:basedOn w:val="DefaultParagraphFont"/>
    <w:link w:val="Heading5"/>
    <w:uiPriority w:val="9"/>
    <w:semiHidden/>
    <w:rsid w:val="00D8498F"/>
    <w:rPr>
      <w:rFonts w:asciiTheme="majorHAnsi" w:eastAsiaTheme="majorEastAsia" w:hAnsiTheme="majorHAnsi" w:cstheme="majorBidi"/>
      <w:i/>
      <w:iCs/>
      <w:sz w:val="22"/>
      <w:szCs w:val="22"/>
      <w:lang w:eastAsia="en-GB"/>
    </w:rPr>
  </w:style>
  <w:style w:type="character" w:customStyle="1" w:styleId="Heading6Char">
    <w:name w:val="Heading 6 Char"/>
    <w:basedOn w:val="DefaultParagraphFont"/>
    <w:link w:val="Heading6"/>
    <w:uiPriority w:val="9"/>
    <w:semiHidden/>
    <w:rsid w:val="00D8498F"/>
    <w:rPr>
      <w:rFonts w:asciiTheme="majorHAnsi" w:eastAsiaTheme="majorEastAsia" w:hAnsiTheme="majorHAnsi" w:cstheme="majorBidi"/>
      <w:color w:val="39A6FF" w:themeColor="text1" w:themeTint="A6"/>
      <w:szCs w:val="21"/>
      <w:lang w:eastAsia="en-GB"/>
    </w:rPr>
  </w:style>
  <w:style w:type="character" w:customStyle="1" w:styleId="Heading7Char">
    <w:name w:val="Heading 7 Char"/>
    <w:basedOn w:val="DefaultParagraphFont"/>
    <w:link w:val="Heading7"/>
    <w:uiPriority w:val="9"/>
    <w:semiHidden/>
    <w:rsid w:val="00D8498F"/>
    <w:rPr>
      <w:rFonts w:asciiTheme="majorHAnsi" w:eastAsiaTheme="majorEastAsia" w:hAnsiTheme="majorHAnsi" w:cstheme="majorBidi"/>
      <w:i/>
      <w:iCs/>
      <w:color w:val="39A6FF" w:themeColor="text1" w:themeTint="A6"/>
      <w:szCs w:val="21"/>
      <w:lang w:eastAsia="en-GB"/>
    </w:rPr>
  </w:style>
  <w:style w:type="character" w:customStyle="1" w:styleId="Heading8Char">
    <w:name w:val="Heading 8 Char"/>
    <w:basedOn w:val="DefaultParagraphFont"/>
    <w:link w:val="Heading8"/>
    <w:uiPriority w:val="9"/>
    <w:semiHidden/>
    <w:rsid w:val="00D8498F"/>
    <w:rPr>
      <w:rFonts w:asciiTheme="majorHAnsi" w:eastAsiaTheme="majorEastAsia" w:hAnsiTheme="majorHAnsi" w:cstheme="majorBidi"/>
      <w:smallCaps/>
      <w:color w:val="39A6FF" w:themeColor="text1" w:themeTint="A6"/>
      <w:szCs w:val="21"/>
      <w:lang w:eastAsia="en-GB"/>
    </w:rPr>
  </w:style>
  <w:style w:type="character" w:customStyle="1" w:styleId="Heading9Char">
    <w:name w:val="Heading 9 Char"/>
    <w:basedOn w:val="DefaultParagraphFont"/>
    <w:link w:val="Heading9"/>
    <w:uiPriority w:val="9"/>
    <w:semiHidden/>
    <w:rsid w:val="00D8498F"/>
    <w:rPr>
      <w:rFonts w:asciiTheme="majorHAnsi" w:eastAsiaTheme="majorEastAsia" w:hAnsiTheme="majorHAnsi" w:cstheme="majorBidi"/>
      <w:i/>
      <w:iCs/>
      <w:smallCaps/>
      <w:color w:val="39A6FF" w:themeColor="text1" w:themeTint="A6"/>
      <w:szCs w:val="21"/>
      <w:lang w:eastAsia="en-GB"/>
    </w:rPr>
  </w:style>
  <w:style w:type="character" w:styleId="PageNumber">
    <w:name w:val="page number"/>
    <w:basedOn w:val="DefaultParagraphFont"/>
    <w:semiHidden/>
    <w:rsid w:val="00D8498F"/>
  </w:style>
  <w:style w:type="paragraph" w:customStyle="1" w:styleId="xl24">
    <w:name w:val="xl24"/>
    <w:basedOn w:val="Normal"/>
    <w:rsid w:val="00D8498F"/>
    <w:pPr>
      <w:spacing w:before="100" w:beforeAutospacing="1" w:after="100" w:afterAutospacing="1" w:line="264" w:lineRule="auto"/>
      <w:jc w:val="center"/>
    </w:pPr>
    <w:rPr>
      <w:rFonts w:ascii="Arial Unicode MS" w:eastAsia="Arial Unicode MS" w:hAnsi="Arial Unicode MS" w:cs="Arial Unicode MS"/>
      <w:color w:val="auto"/>
      <w:sz w:val="24"/>
      <w:szCs w:val="24"/>
      <w:lang w:eastAsia="en-GB"/>
    </w:rPr>
  </w:style>
  <w:style w:type="paragraph" w:customStyle="1" w:styleId="xl25">
    <w:name w:val="xl25"/>
    <w:basedOn w:val="Normal"/>
    <w:rsid w:val="00D8498F"/>
    <w:pPr>
      <w:spacing w:before="100" w:beforeAutospacing="1" w:after="100" w:afterAutospacing="1" w:line="264" w:lineRule="auto"/>
      <w:textAlignment w:val="top"/>
    </w:pPr>
    <w:rPr>
      <w:rFonts w:ascii="Arial Unicode MS" w:eastAsia="Arial Unicode MS" w:hAnsi="Arial Unicode MS" w:cs="Arial Unicode MS"/>
      <w:color w:val="auto"/>
      <w:sz w:val="24"/>
      <w:szCs w:val="24"/>
      <w:lang w:eastAsia="en-GB"/>
    </w:rPr>
  </w:style>
  <w:style w:type="paragraph" w:customStyle="1" w:styleId="xl26">
    <w:name w:val="xl26"/>
    <w:basedOn w:val="Normal"/>
    <w:rsid w:val="00D8498F"/>
    <w:pPr>
      <w:spacing w:before="100" w:beforeAutospacing="1" w:after="100" w:afterAutospacing="1" w:line="264" w:lineRule="auto"/>
      <w:jc w:val="center"/>
      <w:textAlignment w:val="top"/>
    </w:pPr>
    <w:rPr>
      <w:rFonts w:ascii="Arial Unicode MS" w:eastAsia="Arial Unicode MS" w:hAnsi="Arial Unicode MS" w:cs="Arial Unicode MS"/>
      <w:color w:val="auto"/>
      <w:sz w:val="24"/>
      <w:szCs w:val="24"/>
      <w:lang w:eastAsia="en-GB"/>
    </w:rPr>
  </w:style>
  <w:style w:type="paragraph" w:customStyle="1" w:styleId="xl27">
    <w:name w:val="xl27"/>
    <w:basedOn w:val="Normal"/>
    <w:rsid w:val="00D8498F"/>
    <w:pPr>
      <w:spacing w:before="100" w:beforeAutospacing="1" w:after="100" w:afterAutospacing="1" w:line="264" w:lineRule="auto"/>
      <w:jc w:val="center"/>
      <w:textAlignment w:val="top"/>
    </w:pPr>
    <w:rPr>
      <w:rFonts w:ascii="Arial Unicode MS" w:eastAsia="Arial Unicode MS" w:hAnsi="Arial Unicode MS" w:cs="Arial Unicode MS"/>
      <w:color w:val="auto"/>
      <w:sz w:val="24"/>
      <w:szCs w:val="24"/>
      <w:lang w:eastAsia="en-GB"/>
    </w:rPr>
  </w:style>
  <w:style w:type="paragraph" w:styleId="BlockText">
    <w:name w:val="Block Text"/>
    <w:basedOn w:val="Normal"/>
    <w:semiHidden/>
    <w:rsid w:val="00D8498F"/>
    <w:pPr>
      <w:spacing w:before="0" w:after="120" w:line="264" w:lineRule="auto"/>
      <w:ind w:left="284" w:right="51"/>
      <w:jc w:val="both"/>
    </w:pPr>
    <w:rPr>
      <w:rFonts w:ascii="Arial" w:eastAsiaTheme="minorEastAsia" w:hAnsi="Arial" w:cs="Arial"/>
      <w:color w:val="auto"/>
      <w:sz w:val="24"/>
      <w:szCs w:val="21"/>
      <w:lang w:eastAsia="en-GB"/>
    </w:rPr>
  </w:style>
  <w:style w:type="character" w:styleId="Emphasis">
    <w:name w:val="Emphasis"/>
    <w:basedOn w:val="DefaultParagraphFont"/>
    <w:uiPriority w:val="20"/>
    <w:qFormat/>
    <w:rsid w:val="00D8498F"/>
    <w:rPr>
      <w:i/>
      <w:iCs/>
    </w:rPr>
  </w:style>
  <w:style w:type="character" w:styleId="Hyperlink">
    <w:name w:val="Hyperlink"/>
    <w:uiPriority w:val="99"/>
    <w:unhideWhenUsed/>
    <w:rsid w:val="00D8498F"/>
    <w:rPr>
      <w:color w:val="0000FF"/>
      <w:u w:val="single"/>
    </w:rPr>
  </w:style>
  <w:style w:type="paragraph" w:styleId="BalloonText">
    <w:name w:val="Balloon Text"/>
    <w:basedOn w:val="Normal"/>
    <w:link w:val="BalloonTextChar"/>
    <w:uiPriority w:val="99"/>
    <w:semiHidden/>
    <w:unhideWhenUsed/>
    <w:rsid w:val="00D8498F"/>
    <w:pPr>
      <w:spacing w:before="0" w:after="120" w:line="264" w:lineRule="auto"/>
    </w:pPr>
    <w:rPr>
      <w:rFonts w:ascii="Tahoma" w:eastAsiaTheme="minorEastAsia"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D8498F"/>
    <w:rPr>
      <w:rFonts w:ascii="Tahoma" w:eastAsiaTheme="minorEastAsia" w:hAnsi="Tahoma" w:cs="Tahoma"/>
      <w:sz w:val="16"/>
      <w:szCs w:val="16"/>
      <w:lang w:eastAsia="en-GB"/>
    </w:rPr>
  </w:style>
  <w:style w:type="character" w:styleId="UnresolvedMention">
    <w:name w:val="Unresolved Mention"/>
    <w:basedOn w:val="DefaultParagraphFont"/>
    <w:uiPriority w:val="99"/>
    <w:semiHidden/>
    <w:unhideWhenUsed/>
    <w:rsid w:val="00D8498F"/>
    <w:rPr>
      <w:color w:val="605E5C"/>
      <w:shd w:val="clear" w:color="auto" w:fill="E1DFDD"/>
    </w:rPr>
  </w:style>
  <w:style w:type="character" w:styleId="FollowedHyperlink">
    <w:name w:val="FollowedHyperlink"/>
    <w:basedOn w:val="DefaultParagraphFont"/>
    <w:uiPriority w:val="99"/>
    <w:semiHidden/>
    <w:unhideWhenUsed/>
    <w:rsid w:val="00D8498F"/>
    <w:rPr>
      <w:color w:val="CB00BA" w:themeColor="followedHyperlink"/>
      <w:u w:val="single"/>
    </w:rPr>
  </w:style>
  <w:style w:type="paragraph" w:styleId="ListParagraph">
    <w:name w:val="List Paragraph"/>
    <w:basedOn w:val="Normal"/>
    <w:uiPriority w:val="34"/>
    <w:qFormat/>
    <w:rsid w:val="00D8498F"/>
    <w:pPr>
      <w:spacing w:before="0" w:after="120" w:line="264" w:lineRule="auto"/>
      <w:ind w:left="720"/>
      <w:contextualSpacing/>
    </w:pPr>
    <w:rPr>
      <w:rFonts w:asciiTheme="minorHAnsi" w:eastAsiaTheme="minorEastAsia" w:hAnsiTheme="minorHAnsi" w:cstheme="minorBidi"/>
      <w:color w:val="auto"/>
      <w:sz w:val="24"/>
      <w:szCs w:val="21"/>
      <w:lang w:eastAsia="en-GB"/>
    </w:rPr>
  </w:style>
  <w:style w:type="character" w:styleId="CommentReference">
    <w:name w:val="annotation reference"/>
    <w:basedOn w:val="DefaultParagraphFont"/>
    <w:uiPriority w:val="99"/>
    <w:semiHidden/>
    <w:unhideWhenUsed/>
    <w:rsid w:val="00D8498F"/>
    <w:rPr>
      <w:sz w:val="16"/>
      <w:szCs w:val="16"/>
    </w:rPr>
  </w:style>
  <w:style w:type="paragraph" w:styleId="CommentText">
    <w:name w:val="annotation text"/>
    <w:basedOn w:val="Normal"/>
    <w:link w:val="CommentTextChar"/>
    <w:uiPriority w:val="99"/>
    <w:unhideWhenUsed/>
    <w:rsid w:val="00D8498F"/>
    <w:pPr>
      <w:spacing w:before="0" w:after="200" w:line="264" w:lineRule="auto"/>
    </w:pPr>
    <w:rPr>
      <w:rFonts w:asciiTheme="minorHAnsi" w:eastAsiaTheme="minorHAnsi" w:hAnsiTheme="minorHAnsi" w:cstheme="minorBidi"/>
      <w:color w:val="auto"/>
      <w:sz w:val="24"/>
      <w:szCs w:val="21"/>
      <w:lang w:eastAsia="en-GB"/>
    </w:rPr>
  </w:style>
  <w:style w:type="character" w:customStyle="1" w:styleId="CommentTextChar">
    <w:name w:val="Comment Text Char"/>
    <w:basedOn w:val="DefaultParagraphFont"/>
    <w:link w:val="CommentText"/>
    <w:uiPriority w:val="99"/>
    <w:rsid w:val="00D8498F"/>
    <w:rPr>
      <w:szCs w:val="21"/>
      <w:lang w:eastAsia="en-GB"/>
    </w:rPr>
  </w:style>
  <w:style w:type="paragraph" w:styleId="CommentSubject">
    <w:name w:val="annotation subject"/>
    <w:basedOn w:val="CommentText"/>
    <w:next w:val="CommentText"/>
    <w:link w:val="CommentSubjectChar"/>
    <w:uiPriority w:val="99"/>
    <w:semiHidden/>
    <w:unhideWhenUsed/>
    <w:rsid w:val="00D849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8498F"/>
    <w:rPr>
      <w:rFonts w:ascii="Times New Roman" w:eastAsia="Times New Roman" w:hAnsi="Times New Roman" w:cs="Times New Roman"/>
      <w:b/>
      <w:bCs/>
      <w:szCs w:val="21"/>
      <w:lang w:eastAsia="en-GB"/>
    </w:rPr>
  </w:style>
  <w:style w:type="character" w:styleId="Strong">
    <w:name w:val="Strong"/>
    <w:basedOn w:val="DefaultParagraphFont"/>
    <w:uiPriority w:val="22"/>
    <w:qFormat/>
    <w:rsid w:val="00D8498F"/>
    <w:rPr>
      <w:b/>
      <w:bCs/>
    </w:rPr>
  </w:style>
  <w:style w:type="paragraph" w:styleId="Caption">
    <w:name w:val="caption"/>
    <w:basedOn w:val="Normal"/>
    <w:next w:val="Normal"/>
    <w:uiPriority w:val="35"/>
    <w:semiHidden/>
    <w:unhideWhenUsed/>
    <w:qFormat/>
    <w:rsid w:val="00D8498F"/>
    <w:pPr>
      <w:spacing w:before="0" w:after="120" w:line="240" w:lineRule="auto"/>
    </w:pPr>
    <w:rPr>
      <w:rFonts w:asciiTheme="minorHAnsi" w:eastAsiaTheme="minorEastAsia" w:hAnsiTheme="minorHAnsi" w:cstheme="minorBidi"/>
      <w:b/>
      <w:bCs/>
      <w:color w:val="1B99FF" w:themeColor="text1" w:themeTint="BF"/>
      <w:sz w:val="20"/>
      <w:szCs w:val="20"/>
      <w:lang w:eastAsia="en-GB"/>
    </w:rPr>
  </w:style>
  <w:style w:type="paragraph" w:styleId="Quote">
    <w:name w:val="Quote"/>
    <w:basedOn w:val="Normal"/>
    <w:next w:val="Normal"/>
    <w:link w:val="QuoteChar"/>
    <w:uiPriority w:val="29"/>
    <w:qFormat/>
    <w:rsid w:val="00D8498F"/>
    <w:pPr>
      <w:spacing w:before="240" w:after="240" w:line="252" w:lineRule="auto"/>
      <w:ind w:left="864" w:right="864"/>
      <w:jc w:val="center"/>
    </w:pPr>
    <w:rPr>
      <w:rFonts w:asciiTheme="minorHAnsi" w:eastAsiaTheme="minorEastAsia" w:hAnsiTheme="minorHAnsi" w:cstheme="minorBidi"/>
      <w:i/>
      <w:iCs/>
      <w:color w:val="auto"/>
      <w:sz w:val="24"/>
      <w:szCs w:val="21"/>
      <w:lang w:eastAsia="en-GB"/>
    </w:rPr>
  </w:style>
  <w:style w:type="character" w:customStyle="1" w:styleId="QuoteChar">
    <w:name w:val="Quote Char"/>
    <w:basedOn w:val="DefaultParagraphFont"/>
    <w:link w:val="Quote"/>
    <w:uiPriority w:val="29"/>
    <w:rsid w:val="00D8498F"/>
    <w:rPr>
      <w:rFonts w:eastAsiaTheme="minorEastAsia"/>
      <w:i/>
      <w:iCs/>
      <w:szCs w:val="21"/>
      <w:lang w:eastAsia="en-GB"/>
    </w:rPr>
  </w:style>
  <w:style w:type="paragraph" w:styleId="IntenseQuote">
    <w:name w:val="Intense Quote"/>
    <w:basedOn w:val="Normal"/>
    <w:next w:val="Normal"/>
    <w:link w:val="IntenseQuoteChar"/>
    <w:uiPriority w:val="30"/>
    <w:qFormat/>
    <w:rsid w:val="00D8498F"/>
    <w:pPr>
      <w:spacing w:before="100" w:beforeAutospacing="1" w:after="240" w:line="264" w:lineRule="auto"/>
      <w:ind w:left="864" w:right="864"/>
      <w:jc w:val="center"/>
    </w:pPr>
    <w:rPr>
      <w:rFonts w:asciiTheme="majorHAnsi" w:eastAsiaTheme="majorEastAsia" w:hAnsiTheme="majorHAnsi" w:cstheme="majorBidi"/>
      <w:color w:val="FF6D3A" w:themeColor="accent1"/>
      <w:sz w:val="28"/>
      <w:szCs w:val="28"/>
      <w:lang w:eastAsia="en-GB"/>
    </w:rPr>
  </w:style>
  <w:style w:type="character" w:customStyle="1" w:styleId="IntenseQuoteChar">
    <w:name w:val="Intense Quote Char"/>
    <w:basedOn w:val="DefaultParagraphFont"/>
    <w:link w:val="IntenseQuote"/>
    <w:uiPriority w:val="30"/>
    <w:rsid w:val="00D8498F"/>
    <w:rPr>
      <w:rFonts w:asciiTheme="majorHAnsi" w:eastAsiaTheme="majorEastAsia" w:hAnsiTheme="majorHAnsi" w:cstheme="majorBidi"/>
      <w:color w:val="FF6D3A" w:themeColor="accent1"/>
      <w:sz w:val="28"/>
      <w:szCs w:val="28"/>
      <w:lang w:eastAsia="en-GB"/>
    </w:rPr>
  </w:style>
  <w:style w:type="character" w:styleId="SubtleEmphasis">
    <w:name w:val="Subtle Emphasis"/>
    <w:basedOn w:val="DefaultParagraphFont"/>
    <w:uiPriority w:val="19"/>
    <w:qFormat/>
    <w:rsid w:val="00D8498F"/>
    <w:rPr>
      <w:i/>
      <w:iCs/>
      <w:color w:val="39A6FF" w:themeColor="text1" w:themeTint="A6"/>
    </w:rPr>
  </w:style>
  <w:style w:type="character" w:styleId="IntenseEmphasis">
    <w:name w:val="Intense Emphasis"/>
    <w:basedOn w:val="DefaultParagraphFont"/>
    <w:uiPriority w:val="21"/>
    <w:qFormat/>
    <w:rsid w:val="00D8498F"/>
    <w:rPr>
      <w:b/>
      <w:bCs/>
      <w:i/>
      <w:iCs/>
    </w:rPr>
  </w:style>
  <w:style w:type="character" w:styleId="SubtleReference">
    <w:name w:val="Subtle Reference"/>
    <w:basedOn w:val="DefaultParagraphFont"/>
    <w:uiPriority w:val="31"/>
    <w:qFormat/>
    <w:rsid w:val="00D8498F"/>
    <w:rPr>
      <w:smallCaps/>
      <w:color w:val="1B99FF" w:themeColor="text1" w:themeTint="BF"/>
    </w:rPr>
  </w:style>
  <w:style w:type="character" w:styleId="IntenseReference">
    <w:name w:val="Intense Reference"/>
    <w:basedOn w:val="DefaultParagraphFont"/>
    <w:uiPriority w:val="32"/>
    <w:qFormat/>
    <w:rsid w:val="00D8498F"/>
    <w:rPr>
      <w:b/>
      <w:bCs/>
      <w:smallCaps/>
      <w:u w:val="single"/>
    </w:rPr>
  </w:style>
  <w:style w:type="character" w:styleId="BookTitle">
    <w:name w:val="Book Title"/>
    <w:basedOn w:val="DefaultParagraphFont"/>
    <w:uiPriority w:val="33"/>
    <w:qFormat/>
    <w:rsid w:val="00D8498F"/>
    <w:rPr>
      <w:b/>
      <w:bCs/>
      <w:smallCaps/>
    </w:rPr>
  </w:style>
  <w:style w:type="paragraph" w:styleId="TOCHeading">
    <w:name w:val="TOC Heading"/>
    <w:basedOn w:val="Heading1"/>
    <w:next w:val="Normal"/>
    <w:uiPriority w:val="39"/>
    <w:semiHidden/>
    <w:unhideWhenUsed/>
    <w:qFormat/>
    <w:rsid w:val="00D8498F"/>
    <w:pPr>
      <w:outlineLvl w:val="9"/>
    </w:pPr>
  </w:style>
  <w:style w:type="table" w:styleId="ListTable3-Accent3">
    <w:name w:val="List Table 3 Accent 3"/>
    <w:basedOn w:val="TableNormal"/>
    <w:uiPriority w:val="48"/>
    <w:rsid w:val="00D8498F"/>
    <w:rPr>
      <w:rFonts w:ascii="Times New Roman" w:eastAsia="Times New Roman" w:hAnsi="Times New Roman" w:cs="Times New Roman"/>
      <w:sz w:val="20"/>
      <w:szCs w:val="20"/>
      <w:lang w:val="en-US" w:eastAsia="ja-JP"/>
    </w:rPr>
    <w:tblPr>
      <w:tblStyleRowBandSize w:val="1"/>
      <w:tblStyleColBandSize w:val="1"/>
      <w:tblBorders>
        <w:top w:val="single" w:sz="4" w:space="0" w:color="CB95FF" w:themeColor="accent3"/>
        <w:left w:val="single" w:sz="4" w:space="0" w:color="CB95FF" w:themeColor="accent3"/>
        <w:bottom w:val="single" w:sz="4" w:space="0" w:color="CB95FF" w:themeColor="accent3"/>
        <w:right w:val="single" w:sz="4" w:space="0" w:color="CB95FF" w:themeColor="accent3"/>
      </w:tblBorders>
    </w:tblPr>
    <w:tblStylePr w:type="firstRow">
      <w:rPr>
        <w:b/>
        <w:bCs/>
        <w:color w:val="48D1BA" w:themeColor="background1"/>
      </w:rPr>
      <w:tblPr/>
      <w:tcPr>
        <w:shd w:val="clear" w:color="auto" w:fill="CB95FF" w:themeFill="accent3"/>
      </w:tcPr>
    </w:tblStylePr>
    <w:tblStylePr w:type="lastRow">
      <w:rPr>
        <w:b/>
        <w:bCs/>
      </w:rPr>
      <w:tblPr/>
      <w:tcPr>
        <w:tcBorders>
          <w:top w:val="double" w:sz="4" w:space="0" w:color="CB95FF" w:themeColor="accent3"/>
        </w:tcBorders>
        <w:shd w:val="clear" w:color="auto" w:fill="48D1BA" w:themeFill="background1"/>
      </w:tcPr>
    </w:tblStylePr>
    <w:tblStylePr w:type="firstCol">
      <w:rPr>
        <w:b/>
        <w:bCs/>
      </w:rPr>
      <w:tblPr/>
      <w:tcPr>
        <w:tcBorders>
          <w:right w:val="nil"/>
        </w:tcBorders>
        <w:shd w:val="clear" w:color="auto" w:fill="48D1BA" w:themeFill="background1"/>
      </w:tcPr>
    </w:tblStylePr>
    <w:tblStylePr w:type="lastCol">
      <w:rPr>
        <w:b/>
        <w:bCs/>
      </w:rPr>
      <w:tblPr/>
      <w:tcPr>
        <w:tcBorders>
          <w:left w:val="nil"/>
        </w:tcBorders>
        <w:shd w:val="clear" w:color="auto" w:fill="48D1BA" w:themeFill="background1"/>
      </w:tcPr>
    </w:tblStylePr>
    <w:tblStylePr w:type="band1Vert">
      <w:tblPr/>
      <w:tcPr>
        <w:tcBorders>
          <w:left w:val="single" w:sz="4" w:space="0" w:color="CB95FF" w:themeColor="accent3"/>
          <w:right w:val="single" w:sz="4" w:space="0" w:color="CB95FF" w:themeColor="accent3"/>
        </w:tcBorders>
      </w:tcPr>
    </w:tblStylePr>
    <w:tblStylePr w:type="band1Horz">
      <w:tblPr/>
      <w:tcPr>
        <w:tcBorders>
          <w:top w:val="single" w:sz="4" w:space="0" w:color="CB95FF" w:themeColor="accent3"/>
          <w:bottom w:val="single" w:sz="4" w:space="0" w:color="CB95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95FF" w:themeColor="accent3"/>
          <w:left w:val="nil"/>
        </w:tcBorders>
      </w:tcPr>
    </w:tblStylePr>
    <w:tblStylePr w:type="swCell">
      <w:tblPr/>
      <w:tcPr>
        <w:tcBorders>
          <w:top w:val="double" w:sz="4" w:space="0" w:color="CB95FF" w:themeColor="accent3"/>
          <w:right w:val="nil"/>
        </w:tcBorders>
      </w:tcPr>
    </w:tblStylePr>
  </w:style>
  <w:style w:type="table" w:styleId="GridTable1Light-Accent1">
    <w:name w:val="Grid Table 1 Light Accent 1"/>
    <w:basedOn w:val="TableNormal"/>
    <w:uiPriority w:val="46"/>
    <w:rsid w:val="00D8498F"/>
    <w:rPr>
      <w:rFonts w:eastAsiaTheme="minorEastAsia"/>
      <w:sz w:val="21"/>
      <w:szCs w:val="21"/>
      <w:lang w:eastAsia="en-GB"/>
    </w:rPr>
    <w:tblPr>
      <w:tblStyleRowBandSize w:val="1"/>
      <w:tblStyleColBandSize w:val="1"/>
      <w:tblBorders>
        <w:top w:val="single" w:sz="4" w:space="0" w:color="FFC4B0" w:themeColor="accent1" w:themeTint="66"/>
        <w:left w:val="single" w:sz="4" w:space="0" w:color="FFC4B0" w:themeColor="accent1" w:themeTint="66"/>
        <w:bottom w:val="single" w:sz="4" w:space="0" w:color="FFC4B0" w:themeColor="accent1" w:themeTint="66"/>
        <w:right w:val="single" w:sz="4" w:space="0" w:color="FFC4B0" w:themeColor="accent1" w:themeTint="66"/>
        <w:insideH w:val="single" w:sz="4" w:space="0" w:color="FFC4B0" w:themeColor="accent1" w:themeTint="66"/>
        <w:insideV w:val="single" w:sz="4" w:space="0" w:color="FFC4B0" w:themeColor="accent1" w:themeTint="66"/>
      </w:tblBorders>
    </w:tblPr>
    <w:tblStylePr w:type="firstRow">
      <w:rPr>
        <w:b/>
        <w:bCs/>
      </w:rPr>
      <w:tblPr/>
      <w:tcPr>
        <w:tcBorders>
          <w:bottom w:val="single" w:sz="12" w:space="0" w:color="FFA788" w:themeColor="accent1" w:themeTint="99"/>
        </w:tcBorders>
      </w:tcPr>
    </w:tblStylePr>
    <w:tblStylePr w:type="lastRow">
      <w:rPr>
        <w:b/>
        <w:bCs/>
      </w:rPr>
      <w:tblPr/>
      <w:tcPr>
        <w:tcBorders>
          <w:top w:val="double" w:sz="2" w:space="0" w:color="FFA788"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8498F"/>
    <w:rPr>
      <w:rFonts w:eastAsiaTheme="minorEastAsia"/>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47892488">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833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harmacylincolnshire.org/about-us/finance/" TargetMode="External"/><Relationship Id="rId18" Type="http://schemas.openxmlformats.org/officeDocument/2006/relationships/hyperlink" Target="https://www.sciencedirect.com/science/article/pii/S1551741124002055?via%3Dihu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harmacylincolnshire.org/our-news/funding-for-accuracy-checking-pharmacy-technician-course/" TargetMode="External"/><Relationship Id="rId7" Type="http://schemas.openxmlformats.org/officeDocument/2006/relationships/settings" Target="settings.xml"/><Relationship Id="rId12" Type="http://schemas.openxmlformats.org/officeDocument/2006/relationships/hyperlink" Target="https://pharmacylincolnshire.org/about-us/committee-meetings-2/" TargetMode="External"/><Relationship Id="rId17" Type="http://schemas.openxmlformats.org/officeDocument/2006/relationships/hyperlink" Target="https://academic.oup.com/ijpp/article/32/6/452/7749555?login=fal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harmaceutical-journal.com/article/opinion/community-pharmacies-full-potential-is-trapped-in-an-iron-cage-of-bureaucracy" TargetMode="External"/><Relationship Id="rId20" Type="http://schemas.openxmlformats.org/officeDocument/2006/relationships/hyperlink" Target="https://pharmacylincolnshire.org/our-news/independent-prescriber-training-support-lincolnshire-teach-and-tr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armacylincolnshire.org/about-us/committee-document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harmacylincolnshire.org/our-news/funding-for-accuracy-checking-pharmacy-technician-cours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incolnshirepharmacie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armacylincolnshire.org/our-news/independent-prescriber-training-support-lincolnshire-teach-and-treat/" TargetMode="External"/><Relationship Id="rId22" Type="http://schemas.openxmlformats.org/officeDocument/2006/relationships/hyperlink" Target="https://www.frontier-economics.com/media/aazb0awt/frontier-iqvia-economic-analysis-pharmacy-final-report-web.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L%20Chief%20Officer\Downloads\Document%20-%20Word%20template%20-%20Simpl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b3c25d-42a9-4315-958d-be7b69d96b18" xsi:nil="true"/>
    <lcf76f155ced4ddcb4097134ff3c332f xmlns="87ad74db-9930-44d4-bd28-1060d8d507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93D5E3F2AD73408B8770B8ED646E13" ma:contentTypeVersion="18" ma:contentTypeDescription="Create a new document." ma:contentTypeScope="" ma:versionID="1c77fe32fa330851e36300952da262e3">
  <xsd:schema xmlns:xsd="http://www.w3.org/2001/XMLSchema" xmlns:xs="http://www.w3.org/2001/XMLSchema" xmlns:p="http://schemas.microsoft.com/office/2006/metadata/properties" xmlns:ns2="87ad74db-9930-44d4-bd28-1060d8d5079c" xmlns:ns3="0eb3c25d-42a9-4315-958d-be7b69d96b18" targetNamespace="http://schemas.microsoft.com/office/2006/metadata/properties" ma:root="true" ma:fieldsID="f6c4d5e0e3d3b842e1bae84ef412e8fe" ns2:_="" ns3:_="">
    <xsd:import namespace="87ad74db-9930-44d4-bd28-1060d8d5079c"/>
    <xsd:import namespace="0eb3c25d-42a9-4315-958d-be7b69d96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d74db-9930-44d4-bd28-1060d8d50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28f93-caba-4eae-a083-55b189e44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3c25d-42a9-4315-958d-be7b69d96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7ffae4-a070-43d0-b27c-a224ae1ef286}" ma:internalName="TaxCatchAll" ma:showField="CatchAllData" ma:web="0eb3c25d-42a9-4315-958d-be7b69d96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B8054-C87A-43FD-B69F-28A01F159DE8}">
  <ds:schemaRefs>
    <ds:schemaRef ds:uri="http://schemas.microsoft.com/sharepoint/v3/contenttype/forms"/>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A8381E02-2447-4E43-BD69-C83AD8545EE2}">
  <ds:schemaRefs>
    <ds:schemaRef ds:uri="http://schemas.microsoft.com/office/2006/metadata/properties"/>
    <ds:schemaRef ds:uri="http://schemas.microsoft.com/office/infopath/2007/PartnerControls"/>
    <ds:schemaRef ds:uri="0eb3c25d-42a9-4315-958d-be7b69d96b18"/>
    <ds:schemaRef ds:uri="87ad74db-9930-44d4-bd28-1060d8d5079c"/>
  </ds:schemaRefs>
</ds:datastoreItem>
</file>

<file path=customXml/itemProps4.xml><?xml version="1.0" encoding="utf-8"?>
<ds:datastoreItem xmlns:ds="http://schemas.openxmlformats.org/officeDocument/2006/customXml" ds:itemID="{D3D206E2-80AD-4915-B443-662A4EAE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d74db-9930-44d4-bd28-1060d8d5079c"/>
    <ds:schemaRef ds:uri="0eb3c25d-42a9-4315-958d-be7b69d9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 Word template - Simple</Template>
  <TotalTime>0</TotalTime>
  <Pages>22</Pages>
  <Words>6049</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CPL Chief Officer</dc:creator>
  <cp:keywords/>
  <dc:description/>
  <cp:lastModifiedBy>Tracey Latham-Green</cp:lastModifiedBy>
  <cp:revision>15</cp:revision>
  <cp:lastPrinted>2025-07-15T12:37:00Z</cp:lastPrinted>
  <dcterms:created xsi:type="dcterms:W3CDTF">2025-06-26T12:56:00Z</dcterms:created>
  <dcterms:modified xsi:type="dcterms:W3CDTF">2025-07-15T12:42:00Z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0x0101000193D5E3F2AD73408B8770B8ED646E13</vt:lpwstr>
  </property>
</Properties>
</file>