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2D3" w14:textId="2275DC28" w:rsidR="00615692" w:rsidRDefault="00DE1792" w:rsidP="00DE1792">
      <w:pPr>
        <w:jc w:val="center"/>
        <w:rPr>
          <w:b/>
          <w:bCs/>
          <w:color w:val="1B63A5"/>
          <w:sz w:val="28"/>
          <w:szCs w:val="28"/>
        </w:rPr>
      </w:pPr>
      <w:r w:rsidRPr="00DE1792">
        <w:rPr>
          <w:b/>
          <w:bCs/>
          <w:color w:val="1B63A5"/>
          <w:sz w:val="28"/>
          <w:szCs w:val="28"/>
        </w:rPr>
        <w:t>Treatment of Gender incongruence/Gender dysphoria</w:t>
      </w:r>
    </w:p>
    <w:p w14:paraId="62F573B1" w14:textId="538DA224" w:rsidR="00A1107E" w:rsidRPr="00D75501" w:rsidRDefault="00A1107E" w:rsidP="00DE1792">
      <w:pPr>
        <w:jc w:val="center"/>
        <w:rPr>
          <w:b/>
          <w:bCs/>
          <w:color w:val="000000"/>
        </w:rPr>
      </w:pPr>
      <w:r w:rsidRPr="00D75501">
        <w:rPr>
          <w:b/>
          <w:bCs/>
          <w:color w:val="000000"/>
        </w:rPr>
        <w:t xml:space="preserve">The information below </w:t>
      </w:r>
      <w:r w:rsidR="00D75501" w:rsidRPr="00D75501">
        <w:rPr>
          <w:b/>
          <w:bCs/>
          <w:color w:val="000000"/>
        </w:rPr>
        <w:t xml:space="preserve">provides </w:t>
      </w:r>
      <w:r w:rsidRPr="00D75501">
        <w:rPr>
          <w:b/>
          <w:bCs/>
          <w:color w:val="000000"/>
        </w:rPr>
        <w:t>a summary of the key recommendations around treatment of gender incongruence/dysphoria in primary care</w:t>
      </w:r>
      <w:r w:rsidR="005E3FA4" w:rsidRPr="00D75501">
        <w:rPr>
          <w:b/>
          <w:bCs/>
          <w:color w:val="000000"/>
        </w:rPr>
        <w:t>. R</w:t>
      </w:r>
      <w:r w:rsidRPr="00D75501">
        <w:rPr>
          <w:b/>
          <w:bCs/>
          <w:color w:val="000000"/>
        </w:rPr>
        <w:t>ecommendations for both general practice and community pharmacy</w:t>
      </w:r>
      <w:r w:rsidR="005E3FA4" w:rsidRPr="00D75501">
        <w:rPr>
          <w:b/>
          <w:bCs/>
          <w:color w:val="000000"/>
        </w:rPr>
        <w:t xml:space="preserve"> are found in section 1 and 2 respectively. </w:t>
      </w:r>
    </w:p>
    <w:p w14:paraId="2F162C48" w14:textId="77777777" w:rsidR="005E3FA4" w:rsidRPr="008409A8" w:rsidRDefault="00DE1792" w:rsidP="00DE1792">
      <w:pPr>
        <w:pStyle w:val="ListParagraph"/>
        <w:numPr>
          <w:ilvl w:val="0"/>
          <w:numId w:val="18"/>
        </w:numPr>
        <w:rPr>
          <w:color w:val="000000"/>
        </w:rPr>
      </w:pPr>
      <w:hyperlink r:id="rId7" w:history="1">
        <w:r w:rsidRPr="008409A8">
          <w:rPr>
            <w:rStyle w:val="Hyperlink"/>
            <w:b/>
            <w:bCs/>
            <w:color w:val="000000"/>
          </w:rPr>
          <w:t>NHS England</w:t>
        </w:r>
      </w:hyperlink>
      <w:r w:rsidRPr="008409A8">
        <w:rPr>
          <w:color w:val="000000"/>
        </w:rPr>
        <w:t xml:space="preserve"> is the responsible commissioner for Gender services.</w:t>
      </w:r>
    </w:p>
    <w:p w14:paraId="62FA501E" w14:textId="40A9A62A" w:rsidR="00DE1792" w:rsidRPr="00E2559D" w:rsidRDefault="00DE1792" w:rsidP="005E3FA4">
      <w:pPr>
        <w:pStyle w:val="ListParagraph"/>
        <w:numPr>
          <w:ilvl w:val="0"/>
          <w:numId w:val="18"/>
        </w:numPr>
        <w:rPr>
          <w:color w:val="000000"/>
        </w:rPr>
      </w:pPr>
      <w:hyperlink r:id="rId8" w:history="1">
        <w:r w:rsidRPr="008409A8">
          <w:rPr>
            <w:rStyle w:val="Hyperlink"/>
            <w:b/>
            <w:bCs/>
            <w:color w:val="000000"/>
            <w:lang w:val="en-US"/>
          </w:rPr>
          <w:t xml:space="preserve">UK legislation </w:t>
        </w:r>
      </w:hyperlink>
      <w:r w:rsidRPr="008409A8">
        <w:rPr>
          <w:color w:val="000000"/>
          <w:lang w:val="en-US"/>
        </w:rPr>
        <w:t>restricts the prescribing and supply of puberty suppressing hormones (PSH) in children and young people (CYP) under 18 for treating gender incongruence or dysphoria</w:t>
      </w:r>
      <w:r w:rsidR="00A1107E" w:rsidRPr="008409A8">
        <w:rPr>
          <w:color w:val="000000"/>
          <w:lang w:val="en-US"/>
        </w:rPr>
        <w:t xml:space="preserve"> </w:t>
      </w:r>
      <w:r w:rsidR="00A1107E" w:rsidRPr="008409A8">
        <w:rPr>
          <w:color w:val="000000"/>
        </w:rPr>
        <w:t>due to insufficient evidence and medicine safety concerns, particularly regarding compromising bone density.</w:t>
      </w:r>
      <w:r w:rsidR="005E3FA4" w:rsidRPr="008409A8">
        <w:rPr>
          <w:color w:val="000000"/>
        </w:rPr>
        <w:t xml:space="preserve"> See</w:t>
      </w:r>
      <w:r w:rsidR="008409A8">
        <w:rPr>
          <w:color w:val="000000"/>
        </w:rPr>
        <w:t xml:space="preserve"> the</w:t>
      </w:r>
      <w:r w:rsidR="005E3FA4" w:rsidRPr="008409A8">
        <w:rPr>
          <w:color w:val="000000"/>
        </w:rPr>
        <w:t xml:space="preserve"> </w:t>
      </w:r>
      <w:r w:rsidRPr="008409A8">
        <w:rPr>
          <w:color w:val="000000"/>
          <w:lang w:val="en-US"/>
        </w:rPr>
        <w:t>NHS England</w:t>
      </w:r>
      <w:r w:rsidR="008409A8">
        <w:rPr>
          <w:color w:val="000000"/>
          <w:lang w:val="en-US"/>
        </w:rPr>
        <w:t xml:space="preserve"> </w:t>
      </w:r>
      <w:r w:rsidRPr="008409A8">
        <w:rPr>
          <w:color w:val="000000"/>
          <w:lang w:val="en-US"/>
        </w:rPr>
        <w:t xml:space="preserve">Clinical Policy: </w:t>
      </w:r>
      <w:hyperlink r:id="rId9" w:history="1">
        <w:r w:rsidRPr="008409A8">
          <w:rPr>
            <w:rStyle w:val="Hyperlink"/>
            <w:b/>
            <w:bCs/>
            <w:color w:val="000000"/>
            <w:lang w:val="en-US"/>
          </w:rPr>
          <w:t>Puberty suppressing hormones (PSH) for children and young people who have gender incongruence/ gender dysphoria</w:t>
        </w:r>
      </w:hyperlink>
      <w:r w:rsidRPr="008409A8">
        <w:rPr>
          <w:b/>
          <w:bCs/>
          <w:color w:val="000000"/>
          <w:lang w:val="en-US"/>
        </w:rPr>
        <w:t xml:space="preserve"> </w:t>
      </w:r>
      <w:r w:rsidRPr="008409A8">
        <w:rPr>
          <w:color w:val="000000"/>
          <w:lang w:val="en-US"/>
        </w:rPr>
        <w:t xml:space="preserve">[1927] March 2024. </w:t>
      </w:r>
    </w:p>
    <w:p w14:paraId="2C62BD54" w14:textId="6F61421E" w:rsidR="00E2559D" w:rsidRPr="00ED4FD3" w:rsidRDefault="00CC2D77" w:rsidP="00A04442">
      <w:pPr>
        <w:pStyle w:val="ListParagraph"/>
        <w:numPr>
          <w:ilvl w:val="0"/>
          <w:numId w:val="18"/>
        </w:numPr>
        <w:rPr>
          <w:b/>
          <w:bCs/>
          <w:color w:val="000000"/>
        </w:rPr>
      </w:pPr>
      <w:r>
        <w:rPr>
          <w:color w:val="000000"/>
        </w:rPr>
        <w:t xml:space="preserve">See the </w:t>
      </w:r>
      <w:r w:rsidR="00A04442" w:rsidRPr="00A04442">
        <w:rPr>
          <w:color w:val="000000"/>
        </w:rPr>
        <w:t>R</w:t>
      </w:r>
      <w:r>
        <w:rPr>
          <w:color w:val="000000"/>
        </w:rPr>
        <w:t xml:space="preserve">oyal College of General Practitioners </w:t>
      </w:r>
      <w:r w:rsidR="00A04442" w:rsidRPr="00A04442">
        <w:rPr>
          <w:color w:val="000000"/>
        </w:rPr>
        <w:t>GP position statement, March 2025</w:t>
      </w:r>
      <w:r w:rsidR="00ED4FD3">
        <w:rPr>
          <w:color w:val="000000"/>
        </w:rPr>
        <w:t xml:space="preserve">, </w:t>
      </w:r>
      <w:hyperlink r:id="rId10" w:history="1">
        <w:r w:rsidR="00ED4FD3" w:rsidRPr="00ED4FD3">
          <w:rPr>
            <w:rStyle w:val="Hyperlink"/>
            <w:b/>
            <w:bCs/>
            <w:color w:val="000000"/>
          </w:rPr>
          <w:t>The role of GPs in transgender care</w:t>
        </w:r>
      </w:hyperlink>
      <w:r w:rsidR="00ED4FD3" w:rsidRPr="00ED4FD3">
        <w:rPr>
          <w:b/>
          <w:bCs/>
          <w:color w:val="000000"/>
        </w:rPr>
        <w:t xml:space="preserve"> </w:t>
      </w:r>
    </w:p>
    <w:p w14:paraId="66B5B117" w14:textId="77777777" w:rsidR="005E3FA4" w:rsidRPr="005E3FA4" w:rsidRDefault="005E3FA4" w:rsidP="005E3FA4">
      <w:pPr>
        <w:pStyle w:val="ListParagraph"/>
        <w:rPr>
          <w:b/>
          <w:bCs/>
          <w:color w:val="1B63A5"/>
        </w:rPr>
      </w:pPr>
    </w:p>
    <w:p w14:paraId="464E43DD" w14:textId="2A448370" w:rsidR="00DE1792" w:rsidRPr="00D75501" w:rsidRDefault="005E3FA4" w:rsidP="005E3FA4">
      <w:pPr>
        <w:ind w:left="360"/>
        <w:jc w:val="center"/>
        <w:rPr>
          <w:b/>
          <w:bCs/>
          <w:color w:val="1B63A5"/>
          <w:sz w:val="28"/>
          <w:szCs w:val="28"/>
        </w:rPr>
      </w:pPr>
      <w:r w:rsidRPr="00D75501">
        <w:rPr>
          <w:b/>
          <w:bCs/>
          <w:color w:val="1B63A5"/>
          <w:sz w:val="28"/>
          <w:szCs w:val="28"/>
        </w:rPr>
        <w:t xml:space="preserve">Section 1 - </w:t>
      </w:r>
      <w:r w:rsidR="00DE1792" w:rsidRPr="00D75501">
        <w:rPr>
          <w:b/>
          <w:bCs/>
          <w:color w:val="1B63A5"/>
          <w:sz w:val="28"/>
          <w:szCs w:val="28"/>
        </w:rPr>
        <w:t xml:space="preserve">Recommendations for general practice </w:t>
      </w:r>
    </w:p>
    <w:p w14:paraId="06A68A92" w14:textId="682DA6C4" w:rsidR="00DE1792" w:rsidRPr="00D75501" w:rsidRDefault="00DE1792" w:rsidP="00DE1792">
      <w:pPr>
        <w:numPr>
          <w:ilvl w:val="0"/>
          <w:numId w:val="3"/>
        </w:numPr>
        <w:rPr>
          <w:color w:val="000000"/>
        </w:rPr>
      </w:pPr>
      <w:hyperlink r:id="rId11" w:history="1">
        <w:r w:rsidRPr="000155F9">
          <w:rPr>
            <w:rStyle w:val="Hyperlink"/>
            <w:b/>
            <w:bCs/>
            <w:color w:val="000000"/>
          </w:rPr>
          <w:t xml:space="preserve">March 2026 NHSE guidance </w:t>
        </w:r>
      </w:hyperlink>
      <w:r w:rsidRPr="00D75501">
        <w:rPr>
          <w:color w:val="000000"/>
        </w:rPr>
        <w:t xml:space="preserve">to primary care advises GPs against agreeing shared care agreements with </w:t>
      </w:r>
      <w:r w:rsidRPr="00D75501">
        <w:rPr>
          <w:color w:val="000000"/>
          <w:lang w:val="en-US"/>
        </w:rPr>
        <w:t>unregulated providers who supply hormone medications to children and young people with gender incongruence.</w:t>
      </w:r>
      <w:r w:rsidRPr="00D75501">
        <w:rPr>
          <w:color w:val="000000"/>
        </w:rPr>
        <w:t xml:space="preserve"> </w:t>
      </w:r>
    </w:p>
    <w:p w14:paraId="1E76D428" w14:textId="4F524CDB" w:rsidR="00DE1792" w:rsidRPr="00D75501" w:rsidRDefault="00DE1792" w:rsidP="00DE1792">
      <w:pPr>
        <w:numPr>
          <w:ilvl w:val="0"/>
          <w:numId w:val="3"/>
        </w:numPr>
        <w:rPr>
          <w:color w:val="000000"/>
        </w:rPr>
      </w:pPr>
      <w:r w:rsidRPr="00D75501">
        <w:rPr>
          <w:color w:val="000000"/>
        </w:rPr>
        <w:t xml:space="preserve">Assessment and treatment recommendations must be made by a gender identity clinic (GIC)/ gender dysphoria clinic (GDC) specialist in the context of a diagnosis of gender incongruence of adolescence and adulthood defined by </w:t>
      </w:r>
      <w:hyperlink r:id="rId12" w:history="1">
        <w:r w:rsidRPr="00D75501">
          <w:rPr>
            <w:rStyle w:val="Hyperlink"/>
            <w:color w:val="000000"/>
          </w:rPr>
          <w:t>ICD-11 HA60</w:t>
        </w:r>
      </w:hyperlink>
      <w:r w:rsidRPr="00D75501">
        <w:rPr>
          <w:color w:val="000000"/>
        </w:rPr>
        <w:t xml:space="preserve"> or gender incongruence of childhood defined by </w:t>
      </w:r>
      <w:hyperlink r:id="rId13" w:history="1">
        <w:r w:rsidRPr="00D75501">
          <w:rPr>
            <w:rStyle w:val="Hyperlink"/>
            <w:color w:val="000000"/>
          </w:rPr>
          <w:t>ICD-11 HA61</w:t>
        </w:r>
      </w:hyperlink>
      <w:r w:rsidR="00807499" w:rsidRPr="00D75501">
        <w:rPr>
          <w:color w:val="000000"/>
        </w:rPr>
        <w:t>.</w:t>
      </w:r>
    </w:p>
    <w:p w14:paraId="0E42F0CA" w14:textId="77777777" w:rsidR="00DE1792" w:rsidRPr="00D75501" w:rsidRDefault="00DE1792" w:rsidP="00DE1792">
      <w:pPr>
        <w:numPr>
          <w:ilvl w:val="0"/>
          <w:numId w:val="3"/>
        </w:numPr>
        <w:rPr>
          <w:color w:val="000000"/>
        </w:rPr>
      </w:pPr>
      <w:r w:rsidRPr="00D75501">
        <w:rPr>
          <w:color w:val="000000"/>
        </w:rPr>
        <w:t xml:space="preserve">Prescribing and monitoring plans for adults should be established through </w:t>
      </w:r>
      <w:r w:rsidRPr="00D75501">
        <w:rPr>
          <w:b/>
          <w:bCs/>
          <w:color w:val="000000"/>
        </w:rPr>
        <w:t>shared care agreements</w:t>
      </w:r>
      <w:r w:rsidRPr="00D75501">
        <w:rPr>
          <w:color w:val="000000"/>
        </w:rPr>
        <w:t xml:space="preserve"> following Gender Identity Clinic/Gender dysphoria clinic (GIC/GDC) specialist assessment</w:t>
      </w:r>
    </w:p>
    <w:p w14:paraId="1BCF8E2A" w14:textId="7912527C" w:rsidR="00DE1792" w:rsidRPr="00D75501" w:rsidRDefault="00DE1792" w:rsidP="00DE1792">
      <w:pPr>
        <w:numPr>
          <w:ilvl w:val="0"/>
          <w:numId w:val="3"/>
        </w:numPr>
        <w:rPr>
          <w:color w:val="000000"/>
        </w:rPr>
      </w:pPr>
      <w:r w:rsidRPr="00D75501">
        <w:rPr>
          <w:color w:val="000000"/>
        </w:rPr>
        <w:t xml:space="preserve">Review any patients prescribed masculinising/feminising hormone therapy outside of NHS protocols. In older adolescents these may be continued by the GIC/GDC (jointly with the related endocrine clinic), if preset criteria are met. </w:t>
      </w:r>
    </w:p>
    <w:p w14:paraId="7F565E2F" w14:textId="6B9CE795" w:rsidR="00DE1792" w:rsidRPr="00D75501" w:rsidRDefault="00DE1792" w:rsidP="00DE1792">
      <w:pPr>
        <w:numPr>
          <w:ilvl w:val="0"/>
          <w:numId w:val="3"/>
        </w:numPr>
        <w:rPr>
          <w:color w:val="000000"/>
        </w:rPr>
      </w:pPr>
      <w:r w:rsidRPr="00D75501">
        <w:rPr>
          <w:color w:val="000000"/>
        </w:rPr>
        <w:t xml:space="preserve">Be aware that </w:t>
      </w:r>
      <w:hyperlink r:id="rId14" w:history="1">
        <w:r w:rsidRPr="000155F9">
          <w:rPr>
            <w:rStyle w:val="Hyperlink"/>
            <w:b/>
            <w:bCs/>
            <w:color w:val="000000"/>
          </w:rPr>
          <w:t>Sustanon® injection</w:t>
        </w:r>
      </w:hyperlink>
      <w:r w:rsidRPr="00D75501">
        <w:rPr>
          <w:color w:val="000000"/>
        </w:rPr>
        <w:t xml:space="preserve"> is the only licensed product for gender dysphoria ‘as a supportive therapy for female-to-male </w:t>
      </w:r>
      <w:r w:rsidR="00A1107E" w:rsidRPr="00D75501">
        <w:rPr>
          <w:color w:val="000000"/>
        </w:rPr>
        <w:t>transsexuals</w:t>
      </w:r>
      <w:r w:rsidRPr="00D75501">
        <w:rPr>
          <w:color w:val="000000"/>
        </w:rPr>
        <w:t>. Other treatments are unlicensed or off-label but may be prescribed if clinically necessary to meet the specific needs of the patient and where there is no suitably licensed medicine that will meet the patient’s need. Inform patients of the unlicensed use.</w:t>
      </w:r>
    </w:p>
    <w:p w14:paraId="4D3F2C9F" w14:textId="19A1D4C7" w:rsidR="00DE1792" w:rsidRPr="00D75501" w:rsidRDefault="00A1107E" w:rsidP="00A1107E">
      <w:pPr>
        <w:numPr>
          <w:ilvl w:val="0"/>
          <w:numId w:val="3"/>
        </w:numPr>
        <w:rPr>
          <w:color w:val="000000"/>
        </w:rPr>
      </w:pPr>
      <w:r w:rsidRPr="00D75501">
        <w:rPr>
          <w:color w:val="000000"/>
        </w:rPr>
        <w:t>Prescribers should ensure that community pharmacists are provided with sufficient information to safely dispense private or NHS prescriptions for GnRH analogues or other hormones for gender dysphoria.</w:t>
      </w:r>
    </w:p>
    <w:p w14:paraId="1E84E99F" w14:textId="77777777" w:rsidR="00DE1792" w:rsidRPr="00D75501" w:rsidRDefault="00DE1792" w:rsidP="00DE1792">
      <w:pPr>
        <w:numPr>
          <w:ilvl w:val="0"/>
          <w:numId w:val="3"/>
        </w:numPr>
        <w:rPr>
          <w:color w:val="000000"/>
        </w:rPr>
      </w:pPr>
      <w:r w:rsidRPr="00D75501">
        <w:rPr>
          <w:color w:val="000000"/>
        </w:rPr>
        <w:t>Prescribers considering supporting adult patients with bridging prescriptions for hormone treatments should ensure that all the following conditions are met before prescribing:</w:t>
      </w:r>
    </w:p>
    <w:p w14:paraId="467FFC25" w14:textId="77777777" w:rsidR="00DE1792" w:rsidRPr="00D75501" w:rsidRDefault="00DE1792" w:rsidP="00DE1792">
      <w:pPr>
        <w:pStyle w:val="ListParagraph"/>
        <w:numPr>
          <w:ilvl w:val="0"/>
          <w:numId w:val="10"/>
        </w:numPr>
        <w:rPr>
          <w:color w:val="000000"/>
        </w:rPr>
      </w:pPr>
      <w:r w:rsidRPr="00D75501">
        <w:rPr>
          <w:color w:val="000000"/>
        </w:rPr>
        <w:lastRenderedPageBreak/>
        <w:t>Someone is self-medicating hormones or seems highly likely to self-medicate from an unregulated source (over the internet or otherwise on the black market)</w:t>
      </w:r>
    </w:p>
    <w:p w14:paraId="08336FF7" w14:textId="77777777" w:rsidR="00DE1792" w:rsidRPr="00D75501" w:rsidRDefault="00DE1792" w:rsidP="00DE1792">
      <w:pPr>
        <w:pStyle w:val="ListParagraph"/>
        <w:numPr>
          <w:ilvl w:val="0"/>
          <w:numId w:val="10"/>
        </w:numPr>
        <w:rPr>
          <w:color w:val="000000"/>
        </w:rPr>
      </w:pPr>
      <w:r w:rsidRPr="00D75501">
        <w:rPr>
          <w:color w:val="000000"/>
        </w:rPr>
        <w:t xml:space="preserve"> The bridging prescription is intended to mitigate a risk of self-harm or suicide</w:t>
      </w:r>
    </w:p>
    <w:p w14:paraId="503A0189" w14:textId="77777777" w:rsidR="00A1107E" w:rsidRPr="00D75501" w:rsidRDefault="00DE1792" w:rsidP="00A1107E">
      <w:pPr>
        <w:pStyle w:val="ListParagraph"/>
        <w:numPr>
          <w:ilvl w:val="0"/>
          <w:numId w:val="10"/>
        </w:numPr>
        <w:rPr>
          <w:color w:val="000000"/>
        </w:rPr>
      </w:pPr>
      <w:r w:rsidRPr="00D75501">
        <w:rPr>
          <w:color w:val="000000"/>
        </w:rPr>
        <w:t>The doctor has sought specialist advice and prescribes the lowest acceptable dose in the circumstances</w:t>
      </w:r>
    </w:p>
    <w:p w14:paraId="3E5AF5E6" w14:textId="77777777" w:rsidR="00A1107E" w:rsidRPr="00A1107E" w:rsidRDefault="00A1107E" w:rsidP="00A1107E">
      <w:pPr>
        <w:ind w:left="1701"/>
        <w:rPr>
          <w:color w:val="1B63A5"/>
        </w:rPr>
      </w:pPr>
    </w:p>
    <w:p w14:paraId="78E4047F" w14:textId="66A92F20" w:rsidR="00A1107E" w:rsidRPr="00D75501" w:rsidRDefault="005E3FA4" w:rsidP="00D75501">
      <w:pPr>
        <w:jc w:val="center"/>
        <w:rPr>
          <w:b/>
          <w:bCs/>
          <w:color w:val="1B63A5"/>
          <w:sz w:val="28"/>
          <w:szCs w:val="28"/>
        </w:rPr>
      </w:pPr>
      <w:r w:rsidRPr="005E3FA4">
        <w:rPr>
          <w:b/>
          <w:bCs/>
          <w:color w:val="1B63A5"/>
          <w:sz w:val="28"/>
          <w:szCs w:val="28"/>
        </w:rPr>
        <w:t xml:space="preserve">Section 2 - </w:t>
      </w:r>
      <w:r w:rsidR="00DE1792" w:rsidRPr="005E3FA4">
        <w:rPr>
          <w:b/>
          <w:bCs/>
          <w:color w:val="1B63A5"/>
          <w:sz w:val="28"/>
          <w:szCs w:val="28"/>
        </w:rPr>
        <w:t>Recommendations for community pharmacy</w:t>
      </w:r>
    </w:p>
    <w:p w14:paraId="73BD7B3D" w14:textId="77777777" w:rsidR="00DE1792" w:rsidRPr="00D75501" w:rsidRDefault="00A1107E" w:rsidP="00A1107E">
      <w:pPr>
        <w:numPr>
          <w:ilvl w:val="0"/>
          <w:numId w:val="3"/>
        </w:numPr>
        <w:rPr>
          <w:color w:val="000000"/>
        </w:rPr>
      </w:pPr>
      <w:r w:rsidRPr="00D75501">
        <w:rPr>
          <w:color w:val="000000"/>
        </w:rPr>
        <w:t>Prescribers should ensure that community pharmacists are provided with sufficient information to safely dispense private or NHS prescriptions for GnRH analogues or other hormones for gender dysphoria.</w:t>
      </w:r>
    </w:p>
    <w:p w14:paraId="2BAA368C" w14:textId="43EB6ED0" w:rsidR="00A1107E" w:rsidRPr="00D75501" w:rsidRDefault="00A1107E" w:rsidP="00A1107E">
      <w:pPr>
        <w:numPr>
          <w:ilvl w:val="0"/>
          <w:numId w:val="3"/>
        </w:numPr>
        <w:rPr>
          <w:color w:val="000000"/>
        </w:rPr>
      </w:pPr>
      <w:r w:rsidRPr="00D75501">
        <w:rPr>
          <w:color w:val="000000"/>
        </w:rPr>
        <w:t>Community pharmacists should be aware of the restrictions on dispensing NHS and private (UK and non-UK) prescriptions for GnRH analogues and other hormones for gender dysphoria and be able to explain these to prescribers and patients.</w:t>
      </w:r>
    </w:p>
    <w:p w14:paraId="445D61F6" w14:textId="48384FFB" w:rsidR="00A1107E" w:rsidRPr="00D75501" w:rsidRDefault="00A1107E" w:rsidP="00A1107E">
      <w:pPr>
        <w:numPr>
          <w:ilvl w:val="0"/>
          <w:numId w:val="3"/>
        </w:numPr>
        <w:rPr>
          <w:color w:val="000000"/>
        </w:rPr>
      </w:pPr>
      <w:r w:rsidRPr="00D75501">
        <w:rPr>
          <w:color w:val="000000"/>
        </w:rPr>
        <w:t>Review the ‘</w:t>
      </w:r>
      <w:r w:rsidRPr="00D75501">
        <w:rPr>
          <w:i/>
          <w:iCs/>
          <w:color w:val="000000"/>
        </w:rPr>
        <w:t>Quick reference guide puberty blockers (GnRH analogues) dispensing restrictions’</w:t>
      </w:r>
      <w:r w:rsidRPr="00D75501">
        <w:rPr>
          <w:color w:val="000000"/>
        </w:rPr>
        <w:t xml:space="preserve"> in </w:t>
      </w:r>
      <w:r w:rsidRPr="000155F9">
        <w:rPr>
          <w:i/>
          <w:iCs/>
          <w:color w:val="000000"/>
        </w:rPr>
        <w:t>appendix 1</w:t>
      </w:r>
      <w:r w:rsidRPr="00D75501">
        <w:rPr>
          <w:color w:val="000000"/>
        </w:rPr>
        <w:t xml:space="preserve"> below to understand the restrictions on supply of these medications in full. </w:t>
      </w:r>
    </w:p>
    <w:tbl>
      <w:tblPr>
        <w:tblStyle w:val="TableGrid"/>
        <w:tblW w:w="0" w:type="auto"/>
        <w:tblLook w:val="04A0" w:firstRow="1" w:lastRow="0" w:firstColumn="1" w:lastColumn="0" w:noHBand="0" w:noVBand="1"/>
      </w:tblPr>
      <w:tblGrid>
        <w:gridCol w:w="9242"/>
      </w:tblGrid>
      <w:tr w:rsidR="00A1107E" w14:paraId="3398941C" w14:textId="77777777" w:rsidTr="00A1107E">
        <w:tc>
          <w:tcPr>
            <w:tcW w:w="9242" w:type="dxa"/>
          </w:tcPr>
          <w:p w14:paraId="1DCC6675" w14:textId="39BC8CDC" w:rsidR="00A1107E" w:rsidRPr="00781A1E" w:rsidRDefault="00A1107E" w:rsidP="00A1107E">
            <w:pPr>
              <w:pStyle w:val="Heading1"/>
            </w:pPr>
            <w:r>
              <w:lastRenderedPageBreak/>
              <w:t>Appendix 1 - Q</w:t>
            </w:r>
            <w:r w:rsidRPr="00781A1E">
              <w:t>uick</w:t>
            </w:r>
            <w:r>
              <w:t xml:space="preserve"> </w:t>
            </w:r>
            <w:r w:rsidRPr="00781A1E">
              <w:t xml:space="preserve">reference </w:t>
            </w:r>
            <w:r>
              <w:t>guide</w:t>
            </w:r>
            <w:r w:rsidRPr="00781A1E">
              <w:t xml:space="preserve"> puberty blockers (</w:t>
            </w:r>
            <w:r>
              <w:t>GnRH</w:t>
            </w:r>
            <w:r w:rsidRPr="00781A1E">
              <w:t xml:space="preserve"> analogues)</w:t>
            </w:r>
            <w:r>
              <w:t xml:space="preserve"> dispensing restrictions </w:t>
            </w:r>
          </w:p>
          <w:p w14:paraId="45835F69" w14:textId="77777777" w:rsidR="00A1107E" w:rsidRDefault="00A1107E" w:rsidP="00A1107E">
            <w:pPr>
              <w:rPr>
                <w:b/>
                <w:bCs/>
              </w:rPr>
            </w:pPr>
          </w:p>
          <w:p w14:paraId="5BF00EDE" w14:textId="77777777" w:rsidR="00A1107E" w:rsidRPr="000C7E2E" w:rsidRDefault="00A1107E" w:rsidP="00A1107E">
            <w:r w:rsidRPr="000C7E2E">
              <w:t xml:space="preserve">In June 2024, the UK Government introduced emergency restrictions on the prescribing and supply of puberty blockers (gonadotropin-releasing hormone (GnRH) analogues) when used as puberty-suppressing treatment for gender dysphoria/incongruence in </w:t>
            </w:r>
            <w:r>
              <w:t>children and adolescents under 18 years</w:t>
            </w:r>
            <w:r w:rsidRPr="000C7E2E">
              <w:t>. These restrictions were introduced following safety concerns highlighted by the Cass Review and the Commission on Human Medicines.</w:t>
            </w:r>
            <w:r>
              <w:rPr>
                <w:vertAlign w:val="superscript"/>
              </w:rPr>
              <w:t>1-3</w:t>
            </w:r>
          </w:p>
          <w:p w14:paraId="23773EAE" w14:textId="77777777" w:rsidR="00A1107E" w:rsidRPr="000C7E2E" w:rsidRDefault="00A1107E" w:rsidP="00A1107E">
            <w:pPr>
              <w:rPr>
                <w:rFonts w:ascii="Apple Color Emoji" w:hAnsi="Apple Color Emoji" w:cs="Apple Color Emoji"/>
                <w:b/>
                <w:bCs/>
              </w:rPr>
            </w:pPr>
          </w:p>
          <w:p w14:paraId="30AC5F7F" w14:textId="77777777" w:rsidR="00A1107E" w:rsidRPr="00C1256A" w:rsidRDefault="00A1107E" w:rsidP="00A1107E">
            <w:r w:rsidRPr="000C7E2E">
              <w:t xml:space="preserve">This applies to </w:t>
            </w:r>
            <w:r w:rsidRPr="00C1256A">
              <w:t xml:space="preserve">all </w:t>
            </w:r>
            <w:bookmarkStart w:id="0" w:name="_Hlk218858560"/>
            <w:r w:rsidRPr="00C1256A">
              <w:t>puberty</w:t>
            </w:r>
            <w:r>
              <w:t>-</w:t>
            </w:r>
            <w:r w:rsidRPr="00C1256A">
              <w:t xml:space="preserve">suppressing </w:t>
            </w:r>
            <w:r>
              <w:t>(</w:t>
            </w:r>
            <w:r w:rsidRPr="00C1256A">
              <w:t>GnRH analogues</w:t>
            </w:r>
            <w:r>
              <w:t>)</w:t>
            </w:r>
            <w:r w:rsidRPr="00C1256A">
              <w:t xml:space="preserve"> including:</w:t>
            </w:r>
          </w:p>
          <w:p w14:paraId="5FD84D26" w14:textId="77777777" w:rsidR="00A1107E" w:rsidRPr="00781A1E" w:rsidRDefault="00A1107E" w:rsidP="00A1107E">
            <w:pPr>
              <w:numPr>
                <w:ilvl w:val="0"/>
                <w:numId w:val="15"/>
              </w:numPr>
            </w:pPr>
            <w:bookmarkStart w:id="1" w:name="OLE_LINK62"/>
            <w:bookmarkStart w:id="2" w:name="OLE_LINK63"/>
            <w:bookmarkStart w:id="3" w:name="OLE_LINK162"/>
            <w:bookmarkStart w:id="4" w:name="OLE_LINK298"/>
            <w:bookmarkStart w:id="5" w:name="OLE_LINK299"/>
            <w:r w:rsidRPr="00781A1E">
              <w:t>Buserelin</w:t>
            </w:r>
            <w:r>
              <w:rPr>
                <w:vertAlign w:val="superscript"/>
              </w:rPr>
              <w:t>4</w:t>
            </w:r>
          </w:p>
          <w:p w14:paraId="0814859F" w14:textId="77777777" w:rsidR="00A1107E" w:rsidRPr="00781A1E" w:rsidRDefault="00A1107E" w:rsidP="00A1107E">
            <w:pPr>
              <w:numPr>
                <w:ilvl w:val="0"/>
                <w:numId w:val="15"/>
              </w:numPr>
            </w:pPr>
            <w:r w:rsidRPr="00781A1E">
              <w:t>Gonadorelin</w:t>
            </w:r>
            <w:r>
              <w:rPr>
                <w:vertAlign w:val="superscript"/>
              </w:rPr>
              <w:t>5</w:t>
            </w:r>
          </w:p>
          <w:p w14:paraId="1656DDEF" w14:textId="77777777" w:rsidR="00A1107E" w:rsidRPr="00781A1E" w:rsidRDefault="00A1107E" w:rsidP="00A1107E">
            <w:pPr>
              <w:numPr>
                <w:ilvl w:val="0"/>
                <w:numId w:val="15"/>
              </w:numPr>
            </w:pPr>
            <w:r w:rsidRPr="00781A1E">
              <w:t>Goserelin</w:t>
            </w:r>
            <w:r>
              <w:rPr>
                <w:vertAlign w:val="superscript"/>
              </w:rPr>
              <w:t>6</w:t>
            </w:r>
          </w:p>
          <w:p w14:paraId="1D8CE401" w14:textId="77777777" w:rsidR="00A1107E" w:rsidRPr="00781A1E" w:rsidRDefault="00A1107E" w:rsidP="00A1107E">
            <w:pPr>
              <w:numPr>
                <w:ilvl w:val="0"/>
                <w:numId w:val="15"/>
              </w:numPr>
            </w:pPr>
            <w:r>
              <w:t>L</w:t>
            </w:r>
            <w:r w:rsidRPr="00781A1E">
              <w:t>euprorelin acetate</w:t>
            </w:r>
            <w:r>
              <w:rPr>
                <w:vertAlign w:val="superscript"/>
              </w:rPr>
              <w:t>7</w:t>
            </w:r>
          </w:p>
          <w:p w14:paraId="4113CD76" w14:textId="77777777" w:rsidR="00A1107E" w:rsidRPr="00781A1E" w:rsidRDefault="00A1107E" w:rsidP="00A1107E">
            <w:pPr>
              <w:numPr>
                <w:ilvl w:val="0"/>
                <w:numId w:val="15"/>
              </w:numPr>
            </w:pPr>
            <w:r w:rsidRPr="00781A1E">
              <w:t>Nafarelin</w:t>
            </w:r>
            <w:r>
              <w:rPr>
                <w:vertAlign w:val="superscript"/>
              </w:rPr>
              <w:t>8</w:t>
            </w:r>
          </w:p>
          <w:p w14:paraId="2FBDEC34" w14:textId="77777777" w:rsidR="00A1107E" w:rsidRPr="00781A1E" w:rsidRDefault="00A1107E" w:rsidP="00A1107E">
            <w:pPr>
              <w:numPr>
                <w:ilvl w:val="0"/>
                <w:numId w:val="15"/>
              </w:numPr>
            </w:pPr>
            <w:r w:rsidRPr="00781A1E">
              <w:t>Triptorelin</w:t>
            </w:r>
            <w:r>
              <w:rPr>
                <w:vertAlign w:val="superscript"/>
              </w:rPr>
              <w:t>9</w:t>
            </w:r>
            <w:bookmarkEnd w:id="1"/>
            <w:bookmarkEnd w:id="2"/>
            <w:bookmarkEnd w:id="3"/>
          </w:p>
          <w:bookmarkEnd w:id="4"/>
          <w:bookmarkEnd w:id="5"/>
          <w:p w14:paraId="241B538B" w14:textId="77777777" w:rsidR="00A1107E" w:rsidRDefault="00A1107E" w:rsidP="00A1107E"/>
          <w:bookmarkEnd w:id="0"/>
          <w:p w14:paraId="4760CE5E" w14:textId="77777777" w:rsidR="00A1107E" w:rsidRPr="000B435F" w:rsidRDefault="00A1107E" w:rsidP="00A1107E">
            <w:pPr>
              <w:pStyle w:val="Heading3"/>
              <w:rPr>
                <w:b/>
                <w:bCs/>
              </w:rPr>
            </w:pPr>
            <w:r w:rsidRPr="000B435F">
              <w:rPr>
                <w:b/>
                <w:bCs/>
              </w:rPr>
              <w:t>Restrictions</w:t>
            </w:r>
          </w:p>
          <w:p w14:paraId="67D9C1F0" w14:textId="77777777" w:rsidR="00A1107E" w:rsidRPr="00C1256A" w:rsidRDefault="00A1107E" w:rsidP="00A1107E">
            <w:pPr>
              <w:numPr>
                <w:ilvl w:val="0"/>
                <w:numId w:val="14"/>
              </w:numPr>
            </w:pPr>
            <w:r w:rsidRPr="00C1256A">
              <w:t>New patients under 18</w:t>
            </w:r>
            <w:r w:rsidRPr="000B435F">
              <w:t xml:space="preserve"> years </w:t>
            </w:r>
            <w:r w:rsidRPr="00C1256A">
              <w:t>cannot start puberty blockers for gender</w:t>
            </w:r>
            <w:r w:rsidRPr="000B435F">
              <w:t xml:space="preserve"> </w:t>
            </w:r>
            <w:r w:rsidRPr="00C1256A">
              <w:t>dysphoria/incongruence outside designated NHS specialist services.</w:t>
            </w:r>
          </w:p>
          <w:p w14:paraId="27F21391" w14:textId="77777777" w:rsidR="00A1107E" w:rsidRPr="000B435F" w:rsidRDefault="00A1107E" w:rsidP="00A1107E">
            <w:pPr>
              <w:numPr>
                <w:ilvl w:val="0"/>
                <w:numId w:val="14"/>
              </w:numPr>
            </w:pPr>
            <w:r w:rsidRPr="00C1256A">
              <w:t>This applies to all private prescribers, including those based overseas.</w:t>
            </w:r>
          </w:p>
          <w:p w14:paraId="0CE5736D" w14:textId="77777777" w:rsidR="00A1107E" w:rsidRPr="00C1256A" w:rsidRDefault="00A1107E" w:rsidP="00A1107E">
            <w:pPr>
              <w:numPr>
                <w:ilvl w:val="0"/>
                <w:numId w:val="14"/>
              </w:numPr>
            </w:pPr>
            <w:r w:rsidRPr="000B435F">
              <w:t>Community pharmacies must not dispense puberty blockers for gender dysphoria/incongruence if prescribed privately by a non</w:t>
            </w:r>
            <w:r w:rsidRPr="000B435F">
              <w:noBreakHyphen/>
              <w:t>UK prescriber (EEA/Swiss</w:t>
            </w:r>
            <w:r>
              <w:t xml:space="preserve"> prescriber</w:t>
            </w:r>
            <w:r w:rsidRPr="000B435F">
              <w:t>)</w:t>
            </w:r>
            <w:r>
              <w:t>.</w:t>
            </w:r>
          </w:p>
          <w:p w14:paraId="5989D697" w14:textId="77777777" w:rsidR="00A1107E" w:rsidRPr="00C1256A" w:rsidRDefault="00A1107E" w:rsidP="00A1107E">
            <w:pPr>
              <w:rPr>
                <w:b/>
                <w:bCs/>
              </w:rPr>
            </w:pPr>
          </w:p>
          <w:p w14:paraId="17FA4F53" w14:textId="77777777" w:rsidR="00A1107E" w:rsidRPr="00252DC8" w:rsidRDefault="00A1107E" w:rsidP="00A1107E">
            <w:pPr>
              <w:pStyle w:val="Heading3"/>
              <w:rPr>
                <w:rStyle w:val="Heading5Char"/>
                <w:b/>
                <w:bCs/>
                <w:color w:val="156082" w:themeColor="accent1"/>
              </w:rPr>
            </w:pPr>
            <w:r w:rsidRPr="00252DC8">
              <w:rPr>
                <w:color w:val="156082" w:themeColor="accent1"/>
                <w:sz w:val="22"/>
                <w:szCs w:val="22"/>
              </w:rPr>
              <w:t xml:space="preserve"> </w:t>
            </w:r>
            <w:r w:rsidRPr="00252DC8">
              <w:rPr>
                <w:rStyle w:val="Heading5Char"/>
                <w:b/>
                <w:bCs/>
                <w:color w:val="156082" w:themeColor="accent1"/>
              </w:rPr>
              <w:t>Do not dispense if:</w:t>
            </w:r>
          </w:p>
          <w:p w14:paraId="78C1EF47" w14:textId="77777777" w:rsidR="00A1107E" w:rsidRPr="00C1256A" w:rsidRDefault="00A1107E" w:rsidP="00A1107E">
            <w:pPr>
              <w:numPr>
                <w:ilvl w:val="0"/>
                <w:numId w:val="17"/>
              </w:numPr>
            </w:pPr>
            <w:r w:rsidRPr="00C1256A">
              <w:t xml:space="preserve">The patient is under 18 </w:t>
            </w:r>
            <w:r>
              <w:t xml:space="preserve">years </w:t>
            </w:r>
            <w:r w:rsidRPr="00C1256A">
              <w:rPr>
                <w:b/>
                <w:bCs/>
              </w:rPr>
              <w:t>AND</w:t>
            </w:r>
          </w:p>
          <w:p w14:paraId="4305659D" w14:textId="77777777" w:rsidR="00A1107E" w:rsidRPr="00C1256A" w:rsidRDefault="00A1107E" w:rsidP="00A1107E">
            <w:pPr>
              <w:numPr>
                <w:ilvl w:val="0"/>
                <w:numId w:val="17"/>
              </w:numPr>
            </w:pPr>
            <w:r w:rsidRPr="00C1256A">
              <w:t>The prescription is for gender dysphoria</w:t>
            </w:r>
            <w:r w:rsidRPr="000B435F">
              <w:t>/</w:t>
            </w:r>
            <w:r w:rsidRPr="00C1256A">
              <w:t xml:space="preserve">gender incongruence </w:t>
            </w:r>
            <w:r w:rsidRPr="00C1256A">
              <w:rPr>
                <w:b/>
                <w:bCs/>
              </w:rPr>
              <w:t>AND</w:t>
            </w:r>
          </w:p>
          <w:p w14:paraId="41180463" w14:textId="77777777" w:rsidR="00A1107E" w:rsidRPr="00C1256A" w:rsidRDefault="00A1107E" w:rsidP="00A1107E">
            <w:pPr>
              <w:numPr>
                <w:ilvl w:val="0"/>
                <w:numId w:val="17"/>
              </w:numPr>
            </w:pPr>
            <w:r w:rsidRPr="00C1256A">
              <w:t xml:space="preserve">The prescriber is </w:t>
            </w:r>
            <w:r w:rsidRPr="00C1256A">
              <w:rPr>
                <w:b/>
                <w:bCs/>
              </w:rPr>
              <w:t>not UK</w:t>
            </w:r>
            <w:r w:rsidRPr="00C1256A">
              <w:rPr>
                <w:b/>
                <w:bCs/>
              </w:rPr>
              <w:noBreakHyphen/>
              <w:t>registered</w:t>
            </w:r>
            <w:r>
              <w:rPr>
                <w:b/>
                <w:bCs/>
              </w:rPr>
              <w:t xml:space="preserve"> i.e. </w:t>
            </w:r>
            <w:r w:rsidRPr="00C1256A">
              <w:t>EEA prescribers</w:t>
            </w:r>
            <w:r>
              <w:t xml:space="preserve">, </w:t>
            </w:r>
            <w:r w:rsidRPr="00C1256A">
              <w:t>Swiss prescribers</w:t>
            </w:r>
            <w:r>
              <w:t>, or a</w:t>
            </w:r>
            <w:r w:rsidRPr="00C1256A">
              <w:t>ny overseas private clinic</w:t>
            </w:r>
          </w:p>
          <w:p w14:paraId="516D2753" w14:textId="77777777" w:rsidR="00A1107E" w:rsidRPr="00C1256A" w:rsidRDefault="00A1107E" w:rsidP="00A1107E">
            <w:pPr>
              <w:numPr>
                <w:ilvl w:val="0"/>
                <w:numId w:val="17"/>
              </w:numPr>
            </w:pPr>
            <w:r w:rsidRPr="00C1256A">
              <w:t xml:space="preserve">The patient </w:t>
            </w:r>
            <w:r w:rsidRPr="000C7E2E">
              <w:t>has been newly initiated on a puberty blocker</w:t>
            </w:r>
            <w:r w:rsidRPr="00C1256A">
              <w:t xml:space="preserve"> </w:t>
            </w:r>
            <w:r>
              <w:t>after 4</w:t>
            </w:r>
            <w:r w:rsidRPr="00252DC8">
              <w:rPr>
                <w:vertAlign w:val="superscript"/>
              </w:rPr>
              <w:t>th</w:t>
            </w:r>
            <w:r>
              <w:t xml:space="preserve"> June 2024</w:t>
            </w:r>
          </w:p>
          <w:p w14:paraId="638A816D" w14:textId="77777777" w:rsidR="00A1107E" w:rsidRPr="000B435F" w:rsidRDefault="00A1107E" w:rsidP="00A1107E">
            <w:pPr>
              <w:numPr>
                <w:ilvl w:val="0"/>
                <w:numId w:val="17"/>
              </w:numPr>
              <w:rPr>
                <w:b/>
                <w:bCs/>
              </w:rPr>
            </w:pPr>
            <w:r w:rsidRPr="00C1256A">
              <w:t xml:space="preserve">The </w:t>
            </w:r>
            <w:r w:rsidRPr="000C7E2E">
              <w:t>patient is continuing a puberty blocker and the prescription is not endorse</w:t>
            </w:r>
            <w:r>
              <w:t>d ‘</w:t>
            </w:r>
            <w:r w:rsidRPr="000C7E2E">
              <w:t xml:space="preserve"> SLS</w:t>
            </w:r>
            <w:r>
              <w:t>’</w:t>
            </w:r>
            <w:r w:rsidRPr="000C7E2E">
              <w:t xml:space="preserve"> (specialist list scheme) </w:t>
            </w:r>
          </w:p>
          <w:p w14:paraId="5394307A" w14:textId="77777777" w:rsidR="00A1107E" w:rsidRPr="0039065E" w:rsidRDefault="00A1107E" w:rsidP="00A1107E">
            <w:pPr>
              <w:ind w:left="720"/>
              <w:rPr>
                <w:b/>
                <w:bCs/>
              </w:rPr>
            </w:pPr>
          </w:p>
          <w:p w14:paraId="77149827" w14:textId="77777777" w:rsidR="00A1107E" w:rsidRPr="00781A1E" w:rsidRDefault="00A1107E" w:rsidP="00A1107E">
            <w:pPr>
              <w:pStyle w:val="Heading3"/>
              <w:rPr>
                <w:rFonts w:cstheme="minorBidi"/>
                <w:b/>
                <w:bCs/>
              </w:rPr>
            </w:pPr>
            <w:r w:rsidRPr="00781A1E">
              <w:rPr>
                <w:b/>
                <w:bCs/>
              </w:rPr>
              <w:t>Can dispense</w:t>
            </w:r>
            <w:r>
              <w:rPr>
                <w:b/>
                <w:bCs/>
              </w:rPr>
              <w:t xml:space="preserve"> for</w:t>
            </w:r>
            <w:r w:rsidRPr="00781A1E">
              <w:rPr>
                <w:b/>
                <w:bCs/>
              </w:rPr>
              <w:t>:</w:t>
            </w:r>
          </w:p>
          <w:p w14:paraId="6C1DF638" w14:textId="77777777" w:rsidR="00A1107E" w:rsidRPr="00252DC8" w:rsidRDefault="00A1107E" w:rsidP="00A1107E">
            <w:pPr>
              <w:numPr>
                <w:ilvl w:val="0"/>
                <w:numId w:val="13"/>
              </w:numPr>
              <w:tabs>
                <w:tab w:val="clear" w:pos="720"/>
                <w:tab w:val="num" w:pos="360"/>
              </w:tabs>
              <w:ind w:left="360"/>
            </w:pPr>
            <w:r w:rsidRPr="00252DC8">
              <w:t xml:space="preserve">Licensed indications </w:t>
            </w:r>
            <w:r>
              <w:t xml:space="preserve">for </w:t>
            </w:r>
            <w:r w:rsidRPr="00252DC8">
              <w:t xml:space="preserve">non-gender </w:t>
            </w:r>
            <w:r>
              <w:t xml:space="preserve">dysphoria/incongruence </w:t>
            </w:r>
            <w:r w:rsidRPr="00252DC8">
              <w:t xml:space="preserve">indications (e.g. precocious puberty, certain cancers) </w:t>
            </w:r>
          </w:p>
          <w:p w14:paraId="547BAB78" w14:textId="77777777" w:rsidR="00A1107E" w:rsidRPr="00252DC8" w:rsidRDefault="00A1107E" w:rsidP="00A1107E">
            <w:pPr>
              <w:numPr>
                <w:ilvl w:val="0"/>
                <w:numId w:val="13"/>
              </w:numPr>
              <w:tabs>
                <w:tab w:val="clear" w:pos="720"/>
                <w:tab w:val="num" w:pos="360"/>
              </w:tabs>
              <w:ind w:left="360"/>
            </w:pPr>
            <w:r w:rsidRPr="00252DC8">
              <w:t>Continuing under</w:t>
            </w:r>
            <w:r w:rsidRPr="00252DC8">
              <w:noBreakHyphen/>
              <w:t xml:space="preserve">18 years on puberty blockers for gender dysphoria </w:t>
            </w:r>
            <w:r>
              <w:rPr>
                <w:b/>
                <w:bCs/>
              </w:rPr>
              <w:t>only if the</w:t>
            </w:r>
            <w:r w:rsidRPr="00252DC8">
              <w:t>:</w:t>
            </w:r>
          </w:p>
          <w:p w14:paraId="276DEE71" w14:textId="77777777" w:rsidR="00A1107E" w:rsidRPr="001E5D3A" w:rsidRDefault="00A1107E" w:rsidP="00A1107E">
            <w:pPr>
              <w:pStyle w:val="ListParagraph"/>
              <w:numPr>
                <w:ilvl w:val="0"/>
                <w:numId w:val="13"/>
              </w:numPr>
            </w:pPr>
            <w:r w:rsidRPr="001E5D3A">
              <w:t>Prescriber is UK</w:t>
            </w:r>
            <w:r w:rsidRPr="001E5D3A">
              <w:noBreakHyphen/>
              <w:t>registered (GMC doctors)</w:t>
            </w:r>
          </w:p>
          <w:p w14:paraId="3F612258" w14:textId="77777777" w:rsidR="00A1107E" w:rsidRPr="001E5D3A" w:rsidRDefault="00A1107E" w:rsidP="00A1107E">
            <w:pPr>
              <w:pStyle w:val="ListParagraph"/>
              <w:numPr>
                <w:ilvl w:val="0"/>
                <w:numId w:val="13"/>
              </w:numPr>
            </w:pPr>
            <w:r w:rsidRPr="001E5D3A">
              <w:t>Prescription is endorsed “SLS”</w:t>
            </w:r>
          </w:p>
          <w:p w14:paraId="0C6F53C7" w14:textId="77777777" w:rsidR="00A1107E" w:rsidRPr="001E5D3A" w:rsidRDefault="00A1107E" w:rsidP="00A1107E">
            <w:pPr>
              <w:pStyle w:val="ListParagraph"/>
              <w:numPr>
                <w:ilvl w:val="0"/>
                <w:numId w:val="13"/>
              </w:numPr>
            </w:pPr>
            <w:r w:rsidRPr="001E5D3A">
              <w:t>Patient was already established on treatment before June 2024 restrictions</w:t>
            </w:r>
          </w:p>
          <w:p w14:paraId="25EDA98C" w14:textId="77777777" w:rsidR="00A1107E" w:rsidRDefault="00A1107E" w:rsidP="00A1107E"/>
          <w:p w14:paraId="0E959692" w14:textId="77777777" w:rsidR="00A1107E" w:rsidRDefault="00A1107E" w:rsidP="00A1107E"/>
          <w:p w14:paraId="64078F94" w14:textId="77777777" w:rsidR="00A1107E" w:rsidRDefault="00A1107E" w:rsidP="00A1107E"/>
          <w:p w14:paraId="298E38CD" w14:textId="1BBE0662" w:rsidR="00A1107E" w:rsidRDefault="00A1107E" w:rsidP="00A1107E">
            <w:r>
              <w:lastRenderedPageBreak/>
              <w:t>Table 1 below summarises the puberty suppressant restrictions post-June 2024 as a checklist with actions needed and whether the prescription can be dispensed in the UK.</w:t>
            </w:r>
          </w:p>
          <w:p w14:paraId="021159F6" w14:textId="46D29E1F" w:rsidR="00A1107E" w:rsidRPr="00C1256A" w:rsidRDefault="00A1107E" w:rsidP="00A1107E">
            <w:r>
              <w:rPr>
                <w:noProof/>
              </w:rPr>
              <w:drawing>
                <wp:inline distT="0" distB="0" distL="0" distR="0" wp14:anchorId="1908F0B8" wp14:editId="5E0957A2">
                  <wp:extent cx="5731510" cy="3067050"/>
                  <wp:effectExtent l="0" t="0" r="0" b="0"/>
                  <wp:docPr id="3" name="Picture 2">
                    <a:extLst xmlns:a="http://schemas.openxmlformats.org/drawingml/2006/main">
                      <a:ext uri="{FF2B5EF4-FFF2-40B4-BE49-F238E27FC236}">
                        <a16:creationId xmlns:a16="http://schemas.microsoft.com/office/drawing/2014/main" id="{818969CF-9663-112B-028D-DF282CC06C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18969CF-9663-112B-028D-DF282CC06CE2}"/>
                              </a:ext>
                            </a:extLst>
                          </pic:cNvPr>
                          <pic:cNvPicPr>
                            <a:picLocks noChangeAspect="1"/>
                          </pic:cNvPicPr>
                        </pic:nvPicPr>
                        <pic:blipFill>
                          <a:blip r:embed="rId15"/>
                          <a:srcRect t="233"/>
                          <a:stretch>
                            <a:fillRect/>
                          </a:stretch>
                        </pic:blipFill>
                        <pic:spPr>
                          <a:xfrm>
                            <a:off x="0" y="0"/>
                            <a:ext cx="5731510" cy="3067050"/>
                          </a:xfrm>
                          <a:prstGeom prst="rect">
                            <a:avLst/>
                          </a:prstGeom>
                          <a:noFill/>
                        </pic:spPr>
                      </pic:pic>
                    </a:graphicData>
                  </a:graphic>
                </wp:inline>
              </w:drawing>
            </w:r>
          </w:p>
          <w:p w14:paraId="5025DB40" w14:textId="77777777" w:rsidR="00A1107E" w:rsidRDefault="00A1107E" w:rsidP="00A1107E">
            <w:pPr>
              <w:pStyle w:val="Heading3"/>
              <w:rPr>
                <w:b/>
                <w:bCs/>
              </w:rPr>
            </w:pPr>
            <w:r w:rsidRPr="0039065E">
              <w:rPr>
                <w:b/>
                <w:bCs/>
              </w:rPr>
              <w:t>References</w:t>
            </w:r>
          </w:p>
          <w:p w14:paraId="37EF179A" w14:textId="77777777" w:rsidR="009C2407" w:rsidRPr="009C2407" w:rsidRDefault="009C2407" w:rsidP="009C2407"/>
          <w:p w14:paraId="57590ABA" w14:textId="77777777" w:rsidR="00A1107E" w:rsidRPr="0039065E" w:rsidRDefault="00A1107E" w:rsidP="00A1107E">
            <w:pPr>
              <w:numPr>
                <w:ilvl w:val="0"/>
                <w:numId w:val="16"/>
              </w:numPr>
              <w:rPr>
                <w:lang w:val="fr-FR"/>
              </w:rPr>
            </w:pPr>
            <w:r w:rsidRPr="0039065E">
              <w:t xml:space="preserve">Cass H. The Cass Review. </w:t>
            </w:r>
            <w:r w:rsidRPr="0039065E">
              <w:rPr>
                <w:lang w:val="fr-FR"/>
              </w:rPr>
              <w:t xml:space="preserve">April 2024. </w:t>
            </w:r>
            <w:hyperlink r:id="rId16" w:history="1">
              <w:r w:rsidRPr="0039065E">
                <w:rPr>
                  <w:rStyle w:val="Hyperlink"/>
                  <w:lang w:val="fr-FR"/>
                </w:rPr>
                <w:t>https://cass.independent-review.uk/wp-content/uploads/2024/04/CassReview_Final.pdf</w:t>
              </w:r>
            </w:hyperlink>
          </w:p>
          <w:p w14:paraId="0DFD71AB" w14:textId="77777777" w:rsidR="00A1107E" w:rsidRPr="0039065E" w:rsidRDefault="00A1107E" w:rsidP="00A1107E">
            <w:pPr>
              <w:pStyle w:val="ListParagraph"/>
              <w:numPr>
                <w:ilvl w:val="0"/>
                <w:numId w:val="16"/>
              </w:numPr>
            </w:pPr>
            <w:r w:rsidRPr="0039065E">
              <w:t>NHS England. Clinical Policy: Puberty suppressing hormones (PSH) for children and young people who have gender incongruence / gender dysphoria [1927]</w:t>
            </w:r>
            <w:r>
              <w:t>.</w:t>
            </w:r>
            <w:r w:rsidRPr="0039065E">
              <w:t xml:space="preserve"> March 2024. </w:t>
            </w:r>
            <w:hyperlink r:id="rId17" w:history="1">
              <w:r w:rsidRPr="0039065E">
                <w:rPr>
                  <w:rStyle w:val="Hyperlink"/>
                </w:rPr>
                <w:t>https://www.england.nhs.uk/wp-content/uploads/2024/03/clinical-commissioning-policy-gender-affirming-hormones-v2.pdf</w:t>
              </w:r>
            </w:hyperlink>
          </w:p>
          <w:p w14:paraId="4EFE5668" w14:textId="77777777" w:rsidR="00A1107E" w:rsidRPr="0039065E" w:rsidRDefault="00A1107E" w:rsidP="00A1107E">
            <w:pPr>
              <w:numPr>
                <w:ilvl w:val="0"/>
                <w:numId w:val="16"/>
              </w:numPr>
            </w:pPr>
            <w:r w:rsidRPr="0039065E">
              <w:t xml:space="preserve">Department of </w:t>
            </w:r>
            <w:r>
              <w:t>H</w:t>
            </w:r>
            <w:r w:rsidRPr="0039065E">
              <w:t xml:space="preserve">ealth and Social Care. Consultation outcome. Proposed changes to the availability of puberty blockers. </w:t>
            </w:r>
            <w:r>
              <w:t>Updated Octo</w:t>
            </w:r>
            <w:r w:rsidRPr="0039065E">
              <w:t>ber 202</w:t>
            </w:r>
            <w:r>
              <w:t>5</w:t>
            </w:r>
            <w:r w:rsidRPr="0039065E">
              <w:t xml:space="preserve">. </w:t>
            </w:r>
            <w:hyperlink r:id="rId18" w:anchor="the-impact-of-the-emergency-order" w:history="1">
              <w:r w:rsidRPr="0039065E">
                <w:rPr>
                  <w:rStyle w:val="Hyperlink"/>
                </w:rPr>
                <w:t>https://www.gov.uk/government/consultations/proposed-changes-to-the-availability-of-puberty-blockers-for-under-18s/proposed-changes-to-the-availability-of-puberty-blockers#the-impact-of-the-emergency-order</w:t>
              </w:r>
            </w:hyperlink>
          </w:p>
          <w:p w14:paraId="0E45B0D8" w14:textId="77777777" w:rsidR="00A1107E" w:rsidRPr="000B435F" w:rsidRDefault="00A1107E" w:rsidP="00A1107E">
            <w:pPr>
              <w:numPr>
                <w:ilvl w:val="0"/>
                <w:numId w:val="16"/>
              </w:numPr>
            </w:pPr>
            <w:bookmarkStart w:id="6" w:name="OLE_LINK308"/>
            <w:bookmarkStart w:id="7" w:name="OLE_LINK309"/>
            <w:r w:rsidRPr="000B435F">
              <w:t>Summary of Product Characteristics. Supre</w:t>
            </w:r>
            <w:r>
              <w:t>fact</w:t>
            </w:r>
            <w:r w:rsidRPr="000B435F">
              <w:t xml:space="preserve"> 1 mg/ml </w:t>
            </w:r>
            <w:r>
              <w:t xml:space="preserve">injection </w:t>
            </w:r>
            <w:r w:rsidRPr="000B435F">
              <w:t xml:space="preserve">solution for injection. </w:t>
            </w:r>
            <w:r>
              <w:t xml:space="preserve">Neon Healthcare Ltd. </w:t>
            </w:r>
            <w:r w:rsidRPr="000B435F">
              <w:t>Date of revision of text 17/</w:t>
            </w:r>
            <w:r>
              <w:t>0</w:t>
            </w:r>
            <w:r w:rsidRPr="000B435F">
              <w:t>6/25</w:t>
            </w:r>
            <w:r>
              <w:t>.</w:t>
            </w:r>
            <w:r w:rsidRPr="000B435F">
              <w:t xml:space="preserve"> </w:t>
            </w:r>
            <w:bookmarkStart w:id="8" w:name="OLE_LINK219"/>
            <w:bookmarkStart w:id="9" w:name="OLE_LINK220"/>
            <w:r>
              <w:fldChar w:fldCharType="begin"/>
            </w:r>
            <w:r>
              <w:instrText>HYPERLINK "</w:instrText>
            </w:r>
            <w:r w:rsidRPr="000B435F">
              <w:instrText>https://www.medicines.org.uk/emc/product/11242/smpc</w:instrText>
            </w:r>
            <w:r>
              <w:instrText>"</w:instrText>
            </w:r>
            <w:r>
              <w:fldChar w:fldCharType="separate"/>
            </w:r>
            <w:r w:rsidRPr="00595786">
              <w:rPr>
                <w:rStyle w:val="Hyperlink"/>
              </w:rPr>
              <w:t>https://www.medicines.org.uk/emc/product/11242/smpc</w:t>
            </w:r>
            <w:bookmarkEnd w:id="8"/>
            <w:bookmarkEnd w:id="9"/>
            <w:r>
              <w:fldChar w:fldCharType="end"/>
            </w:r>
            <w:r>
              <w:t xml:space="preserve"> </w:t>
            </w:r>
          </w:p>
          <w:p w14:paraId="229E18E0" w14:textId="77777777" w:rsidR="00A1107E" w:rsidRPr="000B435F" w:rsidRDefault="00A1107E" w:rsidP="00A1107E">
            <w:pPr>
              <w:numPr>
                <w:ilvl w:val="0"/>
                <w:numId w:val="16"/>
              </w:numPr>
            </w:pPr>
            <w:bookmarkStart w:id="10" w:name="OLE_LINK434"/>
            <w:bookmarkStart w:id="11" w:name="OLE_LINK435"/>
            <w:r w:rsidRPr="000B435F">
              <w:t xml:space="preserve">Summary of Product Characteristics. </w:t>
            </w:r>
            <w:r w:rsidRPr="00287404">
              <w:t xml:space="preserve">Gonapeptyl Depot 3.75 mg Powder and solvent for suspension for injection. Ferring </w:t>
            </w:r>
            <w:r>
              <w:t>P</w:t>
            </w:r>
            <w:r w:rsidRPr="00287404">
              <w:t xml:space="preserve">harmaceuticals </w:t>
            </w:r>
            <w:r>
              <w:t>L</w:t>
            </w:r>
            <w:r w:rsidRPr="00287404">
              <w:t xml:space="preserve">imited. Date of revision of text </w:t>
            </w:r>
            <w:r>
              <w:t>0</w:t>
            </w:r>
            <w:r w:rsidRPr="00287404">
              <w:t xml:space="preserve">2/12/24. </w:t>
            </w:r>
            <w:hyperlink r:id="rId19" w:history="1">
              <w:r w:rsidRPr="00287404">
                <w:rPr>
                  <w:rStyle w:val="Hyperlink"/>
                </w:rPr>
                <w:t>https://www.medicines.org.uk/emc/product/2229/smpc</w:t>
              </w:r>
            </w:hyperlink>
          </w:p>
          <w:bookmarkEnd w:id="10"/>
          <w:bookmarkEnd w:id="11"/>
          <w:p w14:paraId="262D0B04" w14:textId="77777777" w:rsidR="00A1107E" w:rsidRPr="006340B7" w:rsidRDefault="00A1107E" w:rsidP="00A1107E">
            <w:pPr>
              <w:numPr>
                <w:ilvl w:val="0"/>
                <w:numId w:val="16"/>
              </w:numPr>
            </w:pPr>
            <w:r w:rsidRPr="000B435F">
              <w:t xml:space="preserve">Summary of Product Characteristics. Zoladex 3.6mg Implant. </w:t>
            </w:r>
            <w:r>
              <w:t xml:space="preserve">AstraZeneca UK Limited. </w:t>
            </w:r>
            <w:r w:rsidRPr="000B435F">
              <w:t>Date of revision of text 27/</w:t>
            </w:r>
            <w:r>
              <w:t>0</w:t>
            </w:r>
            <w:r w:rsidRPr="000B435F">
              <w:t xml:space="preserve">3/24. </w:t>
            </w:r>
            <w:hyperlink r:id="rId20" w:history="1">
              <w:r w:rsidRPr="006340B7">
                <w:rPr>
                  <w:rStyle w:val="Hyperlink"/>
                </w:rPr>
                <w:t>https://www.medicines.org.uk/emc/product/1543/smpc</w:t>
              </w:r>
            </w:hyperlink>
            <w:r w:rsidRPr="006340B7">
              <w:t xml:space="preserve"> </w:t>
            </w:r>
          </w:p>
          <w:p w14:paraId="290C506D" w14:textId="77777777" w:rsidR="00A1107E" w:rsidRPr="000B435F" w:rsidRDefault="00A1107E" w:rsidP="00A1107E">
            <w:pPr>
              <w:numPr>
                <w:ilvl w:val="0"/>
                <w:numId w:val="16"/>
              </w:numPr>
            </w:pPr>
            <w:r w:rsidRPr="000B435F">
              <w:t xml:space="preserve">Summary of Product Characteristics. Prostap 3 DCS 11.25 mg Powder and Solvent for Prolonged-release Suspension for Injection in Prefilled Syringe. </w:t>
            </w:r>
            <w:r>
              <w:t xml:space="preserve">Takeda UK Ltd. </w:t>
            </w:r>
            <w:r w:rsidRPr="000B435F">
              <w:t xml:space="preserve">Date of revision of text </w:t>
            </w:r>
            <w:r>
              <w:t>12</w:t>
            </w:r>
            <w:r w:rsidRPr="000B435F">
              <w:t>/</w:t>
            </w:r>
            <w:r>
              <w:t>0</w:t>
            </w:r>
            <w:r w:rsidRPr="000B435F">
              <w:t>6/2</w:t>
            </w:r>
            <w:r>
              <w:t>5</w:t>
            </w:r>
            <w:r w:rsidRPr="000B435F">
              <w:t xml:space="preserve">. </w:t>
            </w:r>
            <w:hyperlink r:id="rId21" w:history="1">
              <w:r w:rsidRPr="000B435F">
                <w:rPr>
                  <w:rStyle w:val="Hyperlink"/>
                </w:rPr>
                <w:t>https://www.medicines.org.uk/emc/product/4651/smpc</w:t>
              </w:r>
            </w:hyperlink>
            <w:r w:rsidRPr="000B435F">
              <w:t xml:space="preserve"> </w:t>
            </w:r>
          </w:p>
          <w:p w14:paraId="5876335F" w14:textId="77777777" w:rsidR="00A1107E" w:rsidRPr="006340B7" w:rsidRDefault="00A1107E" w:rsidP="00A1107E">
            <w:pPr>
              <w:numPr>
                <w:ilvl w:val="0"/>
                <w:numId w:val="16"/>
              </w:numPr>
            </w:pPr>
            <w:r w:rsidRPr="000B435F">
              <w:t>Summary of Product Characteristics. Synarel</w:t>
            </w:r>
            <w:r>
              <w:t xml:space="preserve"> 2mg/ml</w:t>
            </w:r>
            <w:r w:rsidRPr="000B435F">
              <w:t xml:space="preserve"> Nasal Spray. </w:t>
            </w:r>
            <w:r>
              <w:t xml:space="preserve">Pfizer Limited. </w:t>
            </w:r>
            <w:r w:rsidRPr="000B435F">
              <w:t xml:space="preserve">Date of revision of text </w:t>
            </w:r>
            <w:r>
              <w:t>0</w:t>
            </w:r>
            <w:r w:rsidRPr="000B435F">
              <w:t xml:space="preserve">8/22. </w:t>
            </w:r>
            <w:hyperlink r:id="rId22" w:history="1">
              <w:r w:rsidRPr="006340B7">
                <w:rPr>
                  <w:rStyle w:val="Hyperlink"/>
                </w:rPr>
                <w:t>https://www.medicines.org.uk/emc/product/1149/smpc</w:t>
              </w:r>
            </w:hyperlink>
          </w:p>
          <w:p w14:paraId="0A95E5AB" w14:textId="0A60300E" w:rsidR="00A1107E" w:rsidRPr="00F06085" w:rsidRDefault="00A1107E" w:rsidP="00A1107E">
            <w:pPr>
              <w:numPr>
                <w:ilvl w:val="0"/>
                <w:numId w:val="16"/>
              </w:numPr>
            </w:pPr>
            <w:r w:rsidRPr="000B435F">
              <w:t xml:space="preserve">Summary of Product Characteristics. Decapeptyl SR 11.25mg (triptorelin pamoate). </w:t>
            </w:r>
            <w:r>
              <w:t xml:space="preserve">Ipsen Ltd. </w:t>
            </w:r>
            <w:r w:rsidRPr="000B435F">
              <w:t xml:space="preserve">Date of revision of text </w:t>
            </w:r>
            <w:r>
              <w:t>0</w:t>
            </w:r>
            <w:r w:rsidRPr="000B435F">
              <w:t xml:space="preserve">7/11/24. </w:t>
            </w:r>
            <w:bookmarkEnd w:id="6"/>
            <w:bookmarkEnd w:id="7"/>
            <w:r w:rsidRPr="00762E54">
              <w:rPr>
                <w:lang w:val="fr-FR"/>
              </w:rPr>
              <w:fldChar w:fldCharType="begin"/>
            </w:r>
            <w:r w:rsidRPr="00762E54">
              <w:instrText>HYPERLINK "https://www.medicines.org.uk/emc/product/780/smpc"</w:instrText>
            </w:r>
            <w:r w:rsidRPr="00762E54">
              <w:rPr>
                <w:lang w:val="fr-FR"/>
              </w:rPr>
            </w:r>
            <w:r w:rsidRPr="00762E54">
              <w:rPr>
                <w:lang w:val="fr-FR"/>
              </w:rPr>
              <w:fldChar w:fldCharType="separate"/>
            </w:r>
            <w:r w:rsidRPr="006340B7">
              <w:rPr>
                <w:rStyle w:val="Hyperlink"/>
              </w:rPr>
              <w:t>https://www.medicines.org.uk/emc/product/780/smpc</w:t>
            </w:r>
            <w:r w:rsidRPr="00762E54">
              <w:fldChar w:fldCharType="end"/>
            </w:r>
            <w:r w:rsidRPr="000B435F">
              <w:t xml:space="preserve"> </w:t>
            </w:r>
          </w:p>
        </w:tc>
      </w:tr>
    </w:tbl>
    <w:p w14:paraId="756661A9" w14:textId="77777777" w:rsidR="00A1107E" w:rsidRPr="00A1107E" w:rsidRDefault="00A1107E" w:rsidP="00A1107E">
      <w:pPr>
        <w:rPr>
          <w:b/>
          <w:bCs/>
          <w:color w:val="1B63A5"/>
        </w:rPr>
      </w:pPr>
    </w:p>
    <w:sectPr w:rsidR="00A1107E" w:rsidRPr="00A110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39E4" w14:textId="77777777" w:rsidR="005E4E70" w:rsidRDefault="005E4E70" w:rsidP="00A1107E">
      <w:pPr>
        <w:spacing w:after="0" w:line="240" w:lineRule="auto"/>
      </w:pPr>
      <w:r>
        <w:separator/>
      </w:r>
    </w:p>
  </w:endnote>
  <w:endnote w:type="continuationSeparator" w:id="0">
    <w:p w14:paraId="74AAF8A3" w14:textId="77777777" w:rsidR="005E4E70" w:rsidRDefault="005E4E70" w:rsidP="00A1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5354" w14:textId="77777777" w:rsidR="005E4E70" w:rsidRDefault="005E4E70" w:rsidP="00A1107E">
      <w:pPr>
        <w:spacing w:after="0" w:line="240" w:lineRule="auto"/>
      </w:pPr>
      <w:r>
        <w:separator/>
      </w:r>
    </w:p>
  </w:footnote>
  <w:footnote w:type="continuationSeparator" w:id="0">
    <w:p w14:paraId="37DBDBBE" w14:textId="77777777" w:rsidR="005E4E70" w:rsidRDefault="005E4E70" w:rsidP="00A11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38"/>
    <w:multiLevelType w:val="hybridMultilevel"/>
    <w:tmpl w:val="F796DD36"/>
    <w:lvl w:ilvl="0" w:tplc="0809000D">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05A657F7"/>
    <w:multiLevelType w:val="hybridMultilevel"/>
    <w:tmpl w:val="D06677F8"/>
    <w:lvl w:ilvl="0" w:tplc="04E2B106">
      <w:start w:val="1"/>
      <w:numFmt w:val="bullet"/>
      <w:lvlText w:val="•"/>
      <w:lvlJc w:val="left"/>
      <w:pPr>
        <w:tabs>
          <w:tab w:val="num" w:pos="720"/>
        </w:tabs>
        <w:ind w:left="720" w:hanging="360"/>
      </w:pPr>
      <w:rPr>
        <w:rFonts w:ascii="Arial" w:hAnsi="Arial" w:hint="default"/>
      </w:rPr>
    </w:lvl>
    <w:lvl w:ilvl="1" w:tplc="CD62AE22" w:tentative="1">
      <w:start w:val="1"/>
      <w:numFmt w:val="bullet"/>
      <w:lvlText w:val="•"/>
      <w:lvlJc w:val="left"/>
      <w:pPr>
        <w:tabs>
          <w:tab w:val="num" w:pos="1440"/>
        </w:tabs>
        <w:ind w:left="1440" w:hanging="360"/>
      </w:pPr>
      <w:rPr>
        <w:rFonts w:ascii="Arial" w:hAnsi="Arial" w:hint="default"/>
      </w:rPr>
    </w:lvl>
    <w:lvl w:ilvl="2" w:tplc="ED00BDB0" w:tentative="1">
      <w:start w:val="1"/>
      <w:numFmt w:val="bullet"/>
      <w:lvlText w:val="•"/>
      <w:lvlJc w:val="left"/>
      <w:pPr>
        <w:tabs>
          <w:tab w:val="num" w:pos="2160"/>
        </w:tabs>
        <w:ind w:left="2160" w:hanging="360"/>
      </w:pPr>
      <w:rPr>
        <w:rFonts w:ascii="Arial" w:hAnsi="Arial" w:hint="default"/>
      </w:rPr>
    </w:lvl>
    <w:lvl w:ilvl="3" w:tplc="A70CF52E" w:tentative="1">
      <w:start w:val="1"/>
      <w:numFmt w:val="bullet"/>
      <w:lvlText w:val="•"/>
      <w:lvlJc w:val="left"/>
      <w:pPr>
        <w:tabs>
          <w:tab w:val="num" w:pos="2880"/>
        </w:tabs>
        <w:ind w:left="2880" w:hanging="360"/>
      </w:pPr>
      <w:rPr>
        <w:rFonts w:ascii="Arial" w:hAnsi="Arial" w:hint="default"/>
      </w:rPr>
    </w:lvl>
    <w:lvl w:ilvl="4" w:tplc="A7B8E372" w:tentative="1">
      <w:start w:val="1"/>
      <w:numFmt w:val="bullet"/>
      <w:lvlText w:val="•"/>
      <w:lvlJc w:val="left"/>
      <w:pPr>
        <w:tabs>
          <w:tab w:val="num" w:pos="3600"/>
        </w:tabs>
        <w:ind w:left="3600" w:hanging="360"/>
      </w:pPr>
      <w:rPr>
        <w:rFonts w:ascii="Arial" w:hAnsi="Arial" w:hint="default"/>
      </w:rPr>
    </w:lvl>
    <w:lvl w:ilvl="5" w:tplc="474A3C1C" w:tentative="1">
      <w:start w:val="1"/>
      <w:numFmt w:val="bullet"/>
      <w:lvlText w:val="•"/>
      <w:lvlJc w:val="left"/>
      <w:pPr>
        <w:tabs>
          <w:tab w:val="num" w:pos="4320"/>
        </w:tabs>
        <w:ind w:left="4320" w:hanging="360"/>
      </w:pPr>
      <w:rPr>
        <w:rFonts w:ascii="Arial" w:hAnsi="Arial" w:hint="default"/>
      </w:rPr>
    </w:lvl>
    <w:lvl w:ilvl="6" w:tplc="51CA3118" w:tentative="1">
      <w:start w:val="1"/>
      <w:numFmt w:val="bullet"/>
      <w:lvlText w:val="•"/>
      <w:lvlJc w:val="left"/>
      <w:pPr>
        <w:tabs>
          <w:tab w:val="num" w:pos="5040"/>
        </w:tabs>
        <w:ind w:left="5040" w:hanging="360"/>
      </w:pPr>
      <w:rPr>
        <w:rFonts w:ascii="Arial" w:hAnsi="Arial" w:hint="default"/>
      </w:rPr>
    </w:lvl>
    <w:lvl w:ilvl="7" w:tplc="D8BC5488" w:tentative="1">
      <w:start w:val="1"/>
      <w:numFmt w:val="bullet"/>
      <w:lvlText w:val="•"/>
      <w:lvlJc w:val="left"/>
      <w:pPr>
        <w:tabs>
          <w:tab w:val="num" w:pos="5760"/>
        </w:tabs>
        <w:ind w:left="5760" w:hanging="360"/>
      </w:pPr>
      <w:rPr>
        <w:rFonts w:ascii="Arial" w:hAnsi="Arial" w:hint="default"/>
      </w:rPr>
    </w:lvl>
    <w:lvl w:ilvl="8" w:tplc="4DC01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1C1E20"/>
    <w:multiLevelType w:val="hybridMultilevel"/>
    <w:tmpl w:val="BC3E4A9E"/>
    <w:lvl w:ilvl="0" w:tplc="E4C4F214">
      <w:start w:val="1"/>
      <w:numFmt w:val="bullet"/>
      <w:lvlText w:val="•"/>
      <w:lvlJc w:val="left"/>
      <w:pPr>
        <w:tabs>
          <w:tab w:val="num" w:pos="720"/>
        </w:tabs>
        <w:ind w:left="720" w:hanging="360"/>
      </w:pPr>
      <w:rPr>
        <w:rFonts w:ascii="Arial" w:hAnsi="Arial" w:hint="default"/>
      </w:rPr>
    </w:lvl>
    <w:lvl w:ilvl="1" w:tplc="A3E89B5E" w:tentative="1">
      <w:start w:val="1"/>
      <w:numFmt w:val="bullet"/>
      <w:lvlText w:val="•"/>
      <w:lvlJc w:val="left"/>
      <w:pPr>
        <w:tabs>
          <w:tab w:val="num" w:pos="1440"/>
        </w:tabs>
        <w:ind w:left="1440" w:hanging="360"/>
      </w:pPr>
      <w:rPr>
        <w:rFonts w:ascii="Arial" w:hAnsi="Arial" w:hint="default"/>
      </w:rPr>
    </w:lvl>
    <w:lvl w:ilvl="2" w:tplc="E588559C" w:tentative="1">
      <w:start w:val="1"/>
      <w:numFmt w:val="bullet"/>
      <w:lvlText w:val="•"/>
      <w:lvlJc w:val="left"/>
      <w:pPr>
        <w:tabs>
          <w:tab w:val="num" w:pos="2160"/>
        </w:tabs>
        <w:ind w:left="2160" w:hanging="360"/>
      </w:pPr>
      <w:rPr>
        <w:rFonts w:ascii="Arial" w:hAnsi="Arial" w:hint="default"/>
      </w:rPr>
    </w:lvl>
    <w:lvl w:ilvl="3" w:tplc="C85615B0" w:tentative="1">
      <w:start w:val="1"/>
      <w:numFmt w:val="bullet"/>
      <w:lvlText w:val="•"/>
      <w:lvlJc w:val="left"/>
      <w:pPr>
        <w:tabs>
          <w:tab w:val="num" w:pos="2880"/>
        </w:tabs>
        <w:ind w:left="2880" w:hanging="360"/>
      </w:pPr>
      <w:rPr>
        <w:rFonts w:ascii="Arial" w:hAnsi="Arial" w:hint="default"/>
      </w:rPr>
    </w:lvl>
    <w:lvl w:ilvl="4" w:tplc="4A5ADE48" w:tentative="1">
      <w:start w:val="1"/>
      <w:numFmt w:val="bullet"/>
      <w:lvlText w:val="•"/>
      <w:lvlJc w:val="left"/>
      <w:pPr>
        <w:tabs>
          <w:tab w:val="num" w:pos="3600"/>
        </w:tabs>
        <w:ind w:left="3600" w:hanging="360"/>
      </w:pPr>
      <w:rPr>
        <w:rFonts w:ascii="Arial" w:hAnsi="Arial" w:hint="default"/>
      </w:rPr>
    </w:lvl>
    <w:lvl w:ilvl="5" w:tplc="F6C0CA3E" w:tentative="1">
      <w:start w:val="1"/>
      <w:numFmt w:val="bullet"/>
      <w:lvlText w:val="•"/>
      <w:lvlJc w:val="left"/>
      <w:pPr>
        <w:tabs>
          <w:tab w:val="num" w:pos="4320"/>
        </w:tabs>
        <w:ind w:left="4320" w:hanging="360"/>
      </w:pPr>
      <w:rPr>
        <w:rFonts w:ascii="Arial" w:hAnsi="Arial" w:hint="default"/>
      </w:rPr>
    </w:lvl>
    <w:lvl w:ilvl="6" w:tplc="61986772" w:tentative="1">
      <w:start w:val="1"/>
      <w:numFmt w:val="bullet"/>
      <w:lvlText w:val="•"/>
      <w:lvlJc w:val="left"/>
      <w:pPr>
        <w:tabs>
          <w:tab w:val="num" w:pos="5040"/>
        </w:tabs>
        <w:ind w:left="5040" w:hanging="360"/>
      </w:pPr>
      <w:rPr>
        <w:rFonts w:ascii="Arial" w:hAnsi="Arial" w:hint="default"/>
      </w:rPr>
    </w:lvl>
    <w:lvl w:ilvl="7" w:tplc="144026DA" w:tentative="1">
      <w:start w:val="1"/>
      <w:numFmt w:val="bullet"/>
      <w:lvlText w:val="•"/>
      <w:lvlJc w:val="left"/>
      <w:pPr>
        <w:tabs>
          <w:tab w:val="num" w:pos="5760"/>
        </w:tabs>
        <w:ind w:left="5760" w:hanging="360"/>
      </w:pPr>
      <w:rPr>
        <w:rFonts w:ascii="Arial" w:hAnsi="Arial" w:hint="default"/>
      </w:rPr>
    </w:lvl>
    <w:lvl w:ilvl="8" w:tplc="F35EE1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804081"/>
    <w:multiLevelType w:val="hybridMultilevel"/>
    <w:tmpl w:val="9992F6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FF3E21"/>
    <w:multiLevelType w:val="multilevel"/>
    <w:tmpl w:val="94D88B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B702C60"/>
    <w:multiLevelType w:val="hybridMultilevel"/>
    <w:tmpl w:val="2E224ADA"/>
    <w:lvl w:ilvl="0" w:tplc="FB3A6F3A">
      <w:start w:val="1"/>
      <w:numFmt w:val="bullet"/>
      <w:lvlText w:val=""/>
      <w:lvlJc w:val="left"/>
      <w:pPr>
        <w:tabs>
          <w:tab w:val="num" w:pos="720"/>
        </w:tabs>
        <w:ind w:left="720" w:hanging="360"/>
      </w:pPr>
      <w:rPr>
        <w:rFonts w:ascii="Wingdings" w:hAnsi="Wingdings" w:hint="default"/>
      </w:rPr>
    </w:lvl>
    <w:lvl w:ilvl="1" w:tplc="66FAE018" w:tentative="1">
      <w:start w:val="1"/>
      <w:numFmt w:val="bullet"/>
      <w:lvlText w:val=""/>
      <w:lvlJc w:val="left"/>
      <w:pPr>
        <w:tabs>
          <w:tab w:val="num" w:pos="1440"/>
        </w:tabs>
        <w:ind w:left="1440" w:hanging="360"/>
      </w:pPr>
      <w:rPr>
        <w:rFonts w:ascii="Wingdings" w:hAnsi="Wingdings" w:hint="default"/>
      </w:rPr>
    </w:lvl>
    <w:lvl w:ilvl="2" w:tplc="8A60FF70" w:tentative="1">
      <w:start w:val="1"/>
      <w:numFmt w:val="bullet"/>
      <w:lvlText w:val=""/>
      <w:lvlJc w:val="left"/>
      <w:pPr>
        <w:tabs>
          <w:tab w:val="num" w:pos="2160"/>
        </w:tabs>
        <w:ind w:left="2160" w:hanging="360"/>
      </w:pPr>
      <w:rPr>
        <w:rFonts w:ascii="Wingdings" w:hAnsi="Wingdings" w:hint="default"/>
      </w:rPr>
    </w:lvl>
    <w:lvl w:ilvl="3" w:tplc="325093FE" w:tentative="1">
      <w:start w:val="1"/>
      <w:numFmt w:val="bullet"/>
      <w:lvlText w:val=""/>
      <w:lvlJc w:val="left"/>
      <w:pPr>
        <w:tabs>
          <w:tab w:val="num" w:pos="2880"/>
        </w:tabs>
        <w:ind w:left="2880" w:hanging="360"/>
      </w:pPr>
      <w:rPr>
        <w:rFonts w:ascii="Wingdings" w:hAnsi="Wingdings" w:hint="default"/>
      </w:rPr>
    </w:lvl>
    <w:lvl w:ilvl="4" w:tplc="FF3A0F60" w:tentative="1">
      <w:start w:val="1"/>
      <w:numFmt w:val="bullet"/>
      <w:lvlText w:val=""/>
      <w:lvlJc w:val="left"/>
      <w:pPr>
        <w:tabs>
          <w:tab w:val="num" w:pos="3600"/>
        </w:tabs>
        <w:ind w:left="3600" w:hanging="360"/>
      </w:pPr>
      <w:rPr>
        <w:rFonts w:ascii="Wingdings" w:hAnsi="Wingdings" w:hint="default"/>
      </w:rPr>
    </w:lvl>
    <w:lvl w:ilvl="5" w:tplc="57CED178" w:tentative="1">
      <w:start w:val="1"/>
      <w:numFmt w:val="bullet"/>
      <w:lvlText w:val=""/>
      <w:lvlJc w:val="left"/>
      <w:pPr>
        <w:tabs>
          <w:tab w:val="num" w:pos="4320"/>
        </w:tabs>
        <w:ind w:left="4320" w:hanging="360"/>
      </w:pPr>
      <w:rPr>
        <w:rFonts w:ascii="Wingdings" w:hAnsi="Wingdings" w:hint="default"/>
      </w:rPr>
    </w:lvl>
    <w:lvl w:ilvl="6" w:tplc="9948CF6C" w:tentative="1">
      <w:start w:val="1"/>
      <w:numFmt w:val="bullet"/>
      <w:lvlText w:val=""/>
      <w:lvlJc w:val="left"/>
      <w:pPr>
        <w:tabs>
          <w:tab w:val="num" w:pos="5040"/>
        </w:tabs>
        <w:ind w:left="5040" w:hanging="360"/>
      </w:pPr>
      <w:rPr>
        <w:rFonts w:ascii="Wingdings" w:hAnsi="Wingdings" w:hint="default"/>
      </w:rPr>
    </w:lvl>
    <w:lvl w:ilvl="7" w:tplc="1BAA91EA" w:tentative="1">
      <w:start w:val="1"/>
      <w:numFmt w:val="bullet"/>
      <w:lvlText w:val=""/>
      <w:lvlJc w:val="left"/>
      <w:pPr>
        <w:tabs>
          <w:tab w:val="num" w:pos="5760"/>
        </w:tabs>
        <w:ind w:left="5760" w:hanging="360"/>
      </w:pPr>
      <w:rPr>
        <w:rFonts w:ascii="Wingdings" w:hAnsi="Wingdings" w:hint="default"/>
      </w:rPr>
    </w:lvl>
    <w:lvl w:ilvl="8" w:tplc="3D36A7E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77C3F"/>
    <w:multiLevelType w:val="multilevel"/>
    <w:tmpl w:val="20524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72070"/>
    <w:multiLevelType w:val="hybridMultilevel"/>
    <w:tmpl w:val="5BA0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33AED"/>
    <w:multiLevelType w:val="hybridMultilevel"/>
    <w:tmpl w:val="A9F81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AB5711"/>
    <w:multiLevelType w:val="hybridMultilevel"/>
    <w:tmpl w:val="FF54D296"/>
    <w:lvl w:ilvl="0" w:tplc="4BB02BBE">
      <w:start w:val="1"/>
      <w:numFmt w:val="bullet"/>
      <w:lvlText w:val="•"/>
      <w:lvlJc w:val="left"/>
      <w:pPr>
        <w:tabs>
          <w:tab w:val="num" w:pos="720"/>
        </w:tabs>
        <w:ind w:left="720" w:hanging="360"/>
      </w:pPr>
      <w:rPr>
        <w:rFonts w:ascii="Arial" w:hAnsi="Arial" w:hint="default"/>
      </w:rPr>
    </w:lvl>
    <w:lvl w:ilvl="1" w:tplc="7AB278FA" w:tentative="1">
      <w:start w:val="1"/>
      <w:numFmt w:val="bullet"/>
      <w:lvlText w:val="•"/>
      <w:lvlJc w:val="left"/>
      <w:pPr>
        <w:tabs>
          <w:tab w:val="num" w:pos="1440"/>
        </w:tabs>
        <w:ind w:left="1440" w:hanging="360"/>
      </w:pPr>
      <w:rPr>
        <w:rFonts w:ascii="Arial" w:hAnsi="Arial" w:hint="default"/>
      </w:rPr>
    </w:lvl>
    <w:lvl w:ilvl="2" w:tplc="80629E18" w:tentative="1">
      <w:start w:val="1"/>
      <w:numFmt w:val="bullet"/>
      <w:lvlText w:val="•"/>
      <w:lvlJc w:val="left"/>
      <w:pPr>
        <w:tabs>
          <w:tab w:val="num" w:pos="2160"/>
        </w:tabs>
        <w:ind w:left="2160" w:hanging="360"/>
      </w:pPr>
      <w:rPr>
        <w:rFonts w:ascii="Arial" w:hAnsi="Arial" w:hint="default"/>
      </w:rPr>
    </w:lvl>
    <w:lvl w:ilvl="3" w:tplc="84E61110" w:tentative="1">
      <w:start w:val="1"/>
      <w:numFmt w:val="bullet"/>
      <w:lvlText w:val="•"/>
      <w:lvlJc w:val="left"/>
      <w:pPr>
        <w:tabs>
          <w:tab w:val="num" w:pos="2880"/>
        </w:tabs>
        <w:ind w:left="2880" w:hanging="360"/>
      </w:pPr>
      <w:rPr>
        <w:rFonts w:ascii="Arial" w:hAnsi="Arial" w:hint="default"/>
      </w:rPr>
    </w:lvl>
    <w:lvl w:ilvl="4" w:tplc="FB22E9FE" w:tentative="1">
      <w:start w:val="1"/>
      <w:numFmt w:val="bullet"/>
      <w:lvlText w:val="•"/>
      <w:lvlJc w:val="left"/>
      <w:pPr>
        <w:tabs>
          <w:tab w:val="num" w:pos="3600"/>
        </w:tabs>
        <w:ind w:left="3600" w:hanging="360"/>
      </w:pPr>
      <w:rPr>
        <w:rFonts w:ascii="Arial" w:hAnsi="Arial" w:hint="default"/>
      </w:rPr>
    </w:lvl>
    <w:lvl w:ilvl="5" w:tplc="49384F4E" w:tentative="1">
      <w:start w:val="1"/>
      <w:numFmt w:val="bullet"/>
      <w:lvlText w:val="•"/>
      <w:lvlJc w:val="left"/>
      <w:pPr>
        <w:tabs>
          <w:tab w:val="num" w:pos="4320"/>
        </w:tabs>
        <w:ind w:left="4320" w:hanging="360"/>
      </w:pPr>
      <w:rPr>
        <w:rFonts w:ascii="Arial" w:hAnsi="Arial" w:hint="default"/>
      </w:rPr>
    </w:lvl>
    <w:lvl w:ilvl="6" w:tplc="B6A45B68" w:tentative="1">
      <w:start w:val="1"/>
      <w:numFmt w:val="bullet"/>
      <w:lvlText w:val="•"/>
      <w:lvlJc w:val="left"/>
      <w:pPr>
        <w:tabs>
          <w:tab w:val="num" w:pos="5040"/>
        </w:tabs>
        <w:ind w:left="5040" w:hanging="360"/>
      </w:pPr>
      <w:rPr>
        <w:rFonts w:ascii="Arial" w:hAnsi="Arial" w:hint="default"/>
      </w:rPr>
    </w:lvl>
    <w:lvl w:ilvl="7" w:tplc="1D2A404E" w:tentative="1">
      <w:start w:val="1"/>
      <w:numFmt w:val="bullet"/>
      <w:lvlText w:val="•"/>
      <w:lvlJc w:val="left"/>
      <w:pPr>
        <w:tabs>
          <w:tab w:val="num" w:pos="5760"/>
        </w:tabs>
        <w:ind w:left="5760" w:hanging="360"/>
      </w:pPr>
      <w:rPr>
        <w:rFonts w:ascii="Arial" w:hAnsi="Arial" w:hint="default"/>
      </w:rPr>
    </w:lvl>
    <w:lvl w:ilvl="8" w:tplc="476E99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3E5D2B"/>
    <w:multiLevelType w:val="hybridMultilevel"/>
    <w:tmpl w:val="1236E076"/>
    <w:lvl w:ilvl="0" w:tplc="CA20CB90">
      <w:start w:val="1"/>
      <w:numFmt w:val="bullet"/>
      <w:lvlText w:val="•"/>
      <w:lvlJc w:val="left"/>
      <w:pPr>
        <w:tabs>
          <w:tab w:val="num" w:pos="720"/>
        </w:tabs>
        <w:ind w:left="720" w:hanging="360"/>
      </w:pPr>
      <w:rPr>
        <w:rFonts w:ascii="Arial" w:hAnsi="Arial" w:hint="default"/>
      </w:rPr>
    </w:lvl>
    <w:lvl w:ilvl="1" w:tplc="09009144" w:tentative="1">
      <w:start w:val="1"/>
      <w:numFmt w:val="bullet"/>
      <w:lvlText w:val="•"/>
      <w:lvlJc w:val="left"/>
      <w:pPr>
        <w:tabs>
          <w:tab w:val="num" w:pos="1440"/>
        </w:tabs>
        <w:ind w:left="1440" w:hanging="360"/>
      </w:pPr>
      <w:rPr>
        <w:rFonts w:ascii="Arial" w:hAnsi="Arial" w:hint="default"/>
      </w:rPr>
    </w:lvl>
    <w:lvl w:ilvl="2" w:tplc="747085C6" w:tentative="1">
      <w:start w:val="1"/>
      <w:numFmt w:val="bullet"/>
      <w:lvlText w:val="•"/>
      <w:lvlJc w:val="left"/>
      <w:pPr>
        <w:tabs>
          <w:tab w:val="num" w:pos="2160"/>
        </w:tabs>
        <w:ind w:left="2160" w:hanging="360"/>
      </w:pPr>
      <w:rPr>
        <w:rFonts w:ascii="Arial" w:hAnsi="Arial" w:hint="default"/>
      </w:rPr>
    </w:lvl>
    <w:lvl w:ilvl="3" w:tplc="66D0D640" w:tentative="1">
      <w:start w:val="1"/>
      <w:numFmt w:val="bullet"/>
      <w:lvlText w:val="•"/>
      <w:lvlJc w:val="left"/>
      <w:pPr>
        <w:tabs>
          <w:tab w:val="num" w:pos="2880"/>
        </w:tabs>
        <w:ind w:left="2880" w:hanging="360"/>
      </w:pPr>
      <w:rPr>
        <w:rFonts w:ascii="Arial" w:hAnsi="Arial" w:hint="default"/>
      </w:rPr>
    </w:lvl>
    <w:lvl w:ilvl="4" w:tplc="EDC8AFA2" w:tentative="1">
      <w:start w:val="1"/>
      <w:numFmt w:val="bullet"/>
      <w:lvlText w:val="•"/>
      <w:lvlJc w:val="left"/>
      <w:pPr>
        <w:tabs>
          <w:tab w:val="num" w:pos="3600"/>
        </w:tabs>
        <w:ind w:left="3600" w:hanging="360"/>
      </w:pPr>
      <w:rPr>
        <w:rFonts w:ascii="Arial" w:hAnsi="Arial" w:hint="default"/>
      </w:rPr>
    </w:lvl>
    <w:lvl w:ilvl="5" w:tplc="635295E2" w:tentative="1">
      <w:start w:val="1"/>
      <w:numFmt w:val="bullet"/>
      <w:lvlText w:val="•"/>
      <w:lvlJc w:val="left"/>
      <w:pPr>
        <w:tabs>
          <w:tab w:val="num" w:pos="4320"/>
        </w:tabs>
        <w:ind w:left="4320" w:hanging="360"/>
      </w:pPr>
      <w:rPr>
        <w:rFonts w:ascii="Arial" w:hAnsi="Arial" w:hint="default"/>
      </w:rPr>
    </w:lvl>
    <w:lvl w:ilvl="6" w:tplc="741496BC" w:tentative="1">
      <w:start w:val="1"/>
      <w:numFmt w:val="bullet"/>
      <w:lvlText w:val="•"/>
      <w:lvlJc w:val="left"/>
      <w:pPr>
        <w:tabs>
          <w:tab w:val="num" w:pos="5040"/>
        </w:tabs>
        <w:ind w:left="5040" w:hanging="360"/>
      </w:pPr>
      <w:rPr>
        <w:rFonts w:ascii="Arial" w:hAnsi="Arial" w:hint="default"/>
      </w:rPr>
    </w:lvl>
    <w:lvl w:ilvl="7" w:tplc="3A505A06" w:tentative="1">
      <w:start w:val="1"/>
      <w:numFmt w:val="bullet"/>
      <w:lvlText w:val="•"/>
      <w:lvlJc w:val="left"/>
      <w:pPr>
        <w:tabs>
          <w:tab w:val="num" w:pos="5760"/>
        </w:tabs>
        <w:ind w:left="5760" w:hanging="360"/>
      </w:pPr>
      <w:rPr>
        <w:rFonts w:ascii="Arial" w:hAnsi="Arial" w:hint="default"/>
      </w:rPr>
    </w:lvl>
    <w:lvl w:ilvl="8" w:tplc="278A27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894C48"/>
    <w:multiLevelType w:val="hybridMultilevel"/>
    <w:tmpl w:val="7AA2FB48"/>
    <w:lvl w:ilvl="0" w:tplc="B57ABF9C">
      <w:start w:val="1"/>
      <w:numFmt w:val="bullet"/>
      <w:lvlText w:val="•"/>
      <w:lvlJc w:val="left"/>
      <w:pPr>
        <w:tabs>
          <w:tab w:val="num" w:pos="720"/>
        </w:tabs>
        <w:ind w:left="720" w:hanging="360"/>
      </w:pPr>
      <w:rPr>
        <w:rFonts w:ascii="Arial" w:hAnsi="Arial" w:hint="default"/>
      </w:rPr>
    </w:lvl>
    <w:lvl w:ilvl="1" w:tplc="76D072FA" w:tentative="1">
      <w:start w:val="1"/>
      <w:numFmt w:val="bullet"/>
      <w:lvlText w:val="•"/>
      <w:lvlJc w:val="left"/>
      <w:pPr>
        <w:tabs>
          <w:tab w:val="num" w:pos="1440"/>
        </w:tabs>
        <w:ind w:left="1440" w:hanging="360"/>
      </w:pPr>
      <w:rPr>
        <w:rFonts w:ascii="Arial" w:hAnsi="Arial" w:hint="default"/>
      </w:rPr>
    </w:lvl>
    <w:lvl w:ilvl="2" w:tplc="3F761D66" w:tentative="1">
      <w:start w:val="1"/>
      <w:numFmt w:val="bullet"/>
      <w:lvlText w:val="•"/>
      <w:lvlJc w:val="left"/>
      <w:pPr>
        <w:tabs>
          <w:tab w:val="num" w:pos="2160"/>
        </w:tabs>
        <w:ind w:left="2160" w:hanging="360"/>
      </w:pPr>
      <w:rPr>
        <w:rFonts w:ascii="Arial" w:hAnsi="Arial" w:hint="default"/>
      </w:rPr>
    </w:lvl>
    <w:lvl w:ilvl="3" w:tplc="4B626546" w:tentative="1">
      <w:start w:val="1"/>
      <w:numFmt w:val="bullet"/>
      <w:lvlText w:val="•"/>
      <w:lvlJc w:val="left"/>
      <w:pPr>
        <w:tabs>
          <w:tab w:val="num" w:pos="2880"/>
        </w:tabs>
        <w:ind w:left="2880" w:hanging="360"/>
      </w:pPr>
      <w:rPr>
        <w:rFonts w:ascii="Arial" w:hAnsi="Arial" w:hint="default"/>
      </w:rPr>
    </w:lvl>
    <w:lvl w:ilvl="4" w:tplc="B8926B7E" w:tentative="1">
      <w:start w:val="1"/>
      <w:numFmt w:val="bullet"/>
      <w:lvlText w:val="•"/>
      <w:lvlJc w:val="left"/>
      <w:pPr>
        <w:tabs>
          <w:tab w:val="num" w:pos="3600"/>
        </w:tabs>
        <w:ind w:left="3600" w:hanging="360"/>
      </w:pPr>
      <w:rPr>
        <w:rFonts w:ascii="Arial" w:hAnsi="Arial" w:hint="default"/>
      </w:rPr>
    </w:lvl>
    <w:lvl w:ilvl="5" w:tplc="4FC6DD90" w:tentative="1">
      <w:start w:val="1"/>
      <w:numFmt w:val="bullet"/>
      <w:lvlText w:val="•"/>
      <w:lvlJc w:val="left"/>
      <w:pPr>
        <w:tabs>
          <w:tab w:val="num" w:pos="4320"/>
        </w:tabs>
        <w:ind w:left="4320" w:hanging="360"/>
      </w:pPr>
      <w:rPr>
        <w:rFonts w:ascii="Arial" w:hAnsi="Arial" w:hint="default"/>
      </w:rPr>
    </w:lvl>
    <w:lvl w:ilvl="6" w:tplc="86E8D844" w:tentative="1">
      <w:start w:val="1"/>
      <w:numFmt w:val="bullet"/>
      <w:lvlText w:val="•"/>
      <w:lvlJc w:val="left"/>
      <w:pPr>
        <w:tabs>
          <w:tab w:val="num" w:pos="5040"/>
        </w:tabs>
        <w:ind w:left="5040" w:hanging="360"/>
      </w:pPr>
      <w:rPr>
        <w:rFonts w:ascii="Arial" w:hAnsi="Arial" w:hint="default"/>
      </w:rPr>
    </w:lvl>
    <w:lvl w:ilvl="7" w:tplc="538EE6C0" w:tentative="1">
      <w:start w:val="1"/>
      <w:numFmt w:val="bullet"/>
      <w:lvlText w:val="•"/>
      <w:lvlJc w:val="left"/>
      <w:pPr>
        <w:tabs>
          <w:tab w:val="num" w:pos="5760"/>
        </w:tabs>
        <w:ind w:left="5760" w:hanging="360"/>
      </w:pPr>
      <w:rPr>
        <w:rFonts w:ascii="Arial" w:hAnsi="Arial" w:hint="default"/>
      </w:rPr>
    </w:lvl>
    <w:lvl w:ilvl="8" w:tplc="D4E6F7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E32E22"/>
    <w:multiLevelType w:val="hybridMultilevel"/>
    <w:tmpl w:val="17766068"/>
    <w:lvl w:ilvl="0" w:tplc="FF3652F8">
      <w:start w:val="1"/>
      <w:numFmt w:val="bullet"/>
      <w:lvlText w:val="•"/>
      <w:lvlJc w:val="left"/>
      <w:pPr>
        <w:tabs>
          <w:tab w:val="num" w:pos="720"/>
        </w:tabs>
        <w:ind w:left="720" w:hanging="360"/>
      </w:pPr>
      <w:rPr>
        <w:rFonts w:ascii="Arial" w:hAnsi="Arial" w:hint="default"/>
      </w:rPr>
    </w:lvl>
    <w:lvl w:ilvl="1" w:tplc="720C9332" w:tentative="1">
      <w:start w:val="1"/>
      <w:numFmt w:val="bullet"/>
      <w:lvlText w:val="•"/>
      <w:lvlJc w:val="left"/>
      <w:pPr>
        <w:tabs>
          <w:tab w:val="num" w:pos="1440"/>
        </w:tabs>
        <w:ind w:left="1440" w:hanging="360"/>
      </w:pPr>
      <w:rPr>
        <w:rFonts w:ascii="Arial" w:hAnsi="Arial" w:hint="default"/>
      </w:rPr>
    </w:lvl>
    <w:lvl w:ilvl="2" w:tplc="7C1E136A" w:tentative="1">
      <w:start w:val="1"/>
      <w:numFmt w:val="bullet"/>
      <w:lvlText w:val="•"/>
      <w:lvlJc w:val="left"/>
      <w:pPr>
        <w:tabs>
          <w:tab w:val="num" w:pos="2160"/>
        </w:tabs>
        <w:ind w:left="2160" w:hanging="360"/>
      </w:pPr>
      <w:rPr>
        <w:rFonts w:ascii="Arial" w:hAnsi="Arial" w:hint="default"/>
      </w:rPr>
    </w:lvl>
    <w:lvl w:ilvl="3" w:tplc="406E18D0" w:tentative="1">
      <w:start w:val="1"/>
      <w:numFmt w:val="bullet"/>
      <w:lvlText w:val="•"/>
      <w:lvlJc w:val="left"/>
      <w:pPr>
        <w:tabs>
          <w:tab w:val="num" w:pos="2880"/>
        </w:tabs>
        <w:ind w:left="2880" w:hanging="360"/>
      </w:pPr>
      <w:rPr>
        <w:rFonts w:ascii="Arial" w:hAnsi="Arial" w:hint="default"/>
      </w:rPr>
    </w:lvl>
    <w:lvl w:ilvl="4" w:tplc="25C8EEA6" w:tentative="1">
      <w:start w:val="1"/>
      <w:numFmt w:val="bullet"/>
      <w:lvlText w:val="•"/>
      <w:lvlJc w:val="left"/>
      <w:pPr>
        <w:tabs>
          <w:tab w:val="num" w:pos="3600"/>
        </w:tabs>
        <w:ind w:left="3600" w:hanging="360"/>
      </w:pPr>
      <w:rPr>
        <w:rFonts w:ascii="Arial" w:hAnsi="Arial" w:hint="default"/>
      </w:rPr>
    </w:lvl>
    <w:lvl w:ilvl="5" w:tplc="04CE96A4" w:tentative="1">
      <w:start w:val="1"/>
      <w:numFmt w:val="bullet"/>
      <w:lvlText w:val="•"/>
      <w:lvlJc w:val="left"/>
      <w:pPr>
        <w:tabs>
          <w:tab w:val="num" w:pos="4320"/>
        </w:tabs>
        <w:ind w:left="4320" w:hanging="360"/>
      </w:pPr>
      <w:rPr>
        <w:rFonts w:ascii="Arial" w:hAnsi="Arial" w:hint="default"/>
      </w:rPr>
    </w:lvl>
    <w:lvl w:ilvl="6" w:tplc="BA0E5F50" w:tentative="1">
      <w:start w:val="1"/>
      <w:numFmt w:val="bullet"/>
      <w:lvlText w:val="•"/>
      <w:lvlJc w:val="left"/>
      <w:pPr>
        <w:tabs>
          <w:tab w:val="num" w:pos="5040"/>
        </w:tabs>
        <w:ind w:left="5040" w:hanging="360"/>
      </w:pPr>
      <w:rPr>
        <w:rFonts w:ascii="Arial" w:hAnsi="Arial" w:hint="default"/>
      </w:rPr>
    </w:lvl>
    <w:lvl w:ilvl="7" w:tplc="FCA88378" w:tentative="1">
      <w:start w:val="1"/>
      <w:numFmt w:val="bullet"/>
      <w:lvlText w:val="•"/>
      <w:lvlJc w:val="left"/>
      <w:pPr>
        <w:tabs>
          <w:tab w:val="num" w:pos="5760"/>
        </w:tabs>
        <w:ind w:left="5760" w:hanging="360"/>
      </w:pPr>
      <w:rPr>
        <w:rFonts w:ascii="Arial" w:hAnsi="Arial" w:hint="default"/>
      </w:rPr>
    </w:lvl>
    <w:lvl w:ilvl="8" w:tplc="1EA27C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623945"/>
    <w:multiLevelType w:val="multilevel"/>
    <w:tmpl w:val="9962BC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880413C"/>
    <w:multiLevelType w:val="hybridMultilevel"/>
    <w:tmpl w:val="BC385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9D023F"/>
    <w:multiLevelType w:val="hybridMultilevel"/>
    <w:tmpl w:val="B9CC4D1A"/>
    <w:lvl w:ilvl="0" w:tplc="5AC00B78">
      <w:start w:val="1"/>
      <w:numFmt w:val="bullet"/>
      <w:lvlText w:val=""/>
      <w:lvlJc w:val="left"/>
      <w:pPr>
        <w:tabs>
          <w:tab w:val="num" w:pos="720"/>
        </w:tabs>
        <w:ind w:left="720" w:hanging="360"/>
      </w:pPr>
      <w:rPr>
        <w:rFonts w:ascii="Wingdings" w:hAnsi="Wingdings" w:hint="default"/>
      </w:rPr>
    </w:lvl>
    <w:lvl w:ilvl="1" w:tplc="5DCCDDA4">
      <w:start w:val="1"/>
      <w:numFmt w:val="bullet"/>
      <w:lvlText w:val=""/>
      <w:lvlJc w:val="left"/>
      <w:pPr>
        <w:tabs>
          <w:tab w:val="num" w:pos="1440"/>
        </w:tabs>
        <w:ind w:left="1440" w:hanging="360"/>
      </w:pPr>
      <w:rPr>
        <w:rFonts w:ascii="Wingdings" w:hAnsi="Wingdings" w:hint="default"/>
      </w:rPr>
    </w:lvl>
    <w:lvl w:ilvl="2" w:tplc="7A0ED124" w:tentative="1">
      <w:start w:val="1"/>
      <w:numFmt w:val="bullet"/>
      <w:lvlText w:val=""/>
      <w:lvlJc w:val="left"/>
      <w:pPr>
        <w:tabs>
          <w:tab w:val="num" w:pos="2160"/>
        </w:tabs>
        <w:ind w:left="2160" w:hanging="360"/>
      </w:pPr>
      <w:rPr>
        <w:rFonts w:ascii="Wingdings" w:hAnsi="Wingdings" w:hint="default"/>
      </w:rPr>
    </w:lvl>
    <w:lvl w:ilvl="3" w:tplc="FE3E2A2E" w:tentative="1">
      <w:start w:val="1"/>
      <w:numFmt w:val="bullet"/>
      <w:lvlText w:val=""/>
      <w:lvlJc w:val="left"/>
      <w:pPr>
        <w:tabs>
          <w:tab w:val="num" w:pos="2880"/>
        </w:tabs>
        <w:ind w:left="2880" w:hanging="360"/>
      </w:pPr>
      <w:rPr>
        <w:rFonts w:ascii="Wingdings" w:hAnsi="Wingdings" w:hint="default"/>
      </w:rPr>
    </w:lvl>
    <w:lvl w:ilvl="4" w:tplc="708898EA" w:tentative="1">
      <w:start w:val="1"/>
      <w:numFmt w:val="bullet"/>
      <w:lvlText w:val=""/>
      <w:lvlJc w:val="left"/>
      <w:pPr>
        <w:tabs>
          <w:tab w:val="num" w:pos="3600"/>
        </w:tabs>
        <w:ind w:left="3600" w:hanging="360"/>
      </w:pPr>
      <w:rPr>
        <w:rFonts w:ascii="Wingdings" w:hAnsi="Wingdings" w:hint="default"/>
      </w:rPr>
    </w:lvl>
    <w:lvl w:ilvl="5" w:tplc="D4FA0BD4" w:tentative="1">
      <w:start w:val="1"/>
      <w:numFmt w:val="bullet"/>
      <w:lvlText w:val=""/>
      <w:lvlJc w:val="left"/>
      <w:pPr>
        <w:tabs>
          <w:tab w:val="num" w:pos="4320"/>
        </w:tabs>
        <w:ind w:left="4320" w:hanging="360"/>
      </w:pPr>
      <w:rPr>
        <w:rFonts w:ascii="Wingdings" w:hAnsi="Wingdings" w:hint="default"/>
      </w:rPr>
    </w:lvl>
    <w:lvl w:ilvl="6" w:tplc="2C3C7728" w:tentative="1">
      <w:start w:val="1"/>
      <w:numFmt w:val="bullet"/>
      <w:lvlText w:val=""/>
      <w:lvlJc w:val="left"/>
      <w:pPr>
        <w:tabs>
          <w:tab w:val="num" w:pos="5040"/>
        </w:tabs>
        <w:ind w:left="5040" w:hanging="360"/>
      </w:pPr>
      <w:rPr>
        <w:rFonts w:ascii="Wingdings" w:hAnsi="Wingdings" w:hint="default"/>
      </w:rPr>
    </w:lvl>
    <w:lvl w:ilvl="7" w:tplc="BC56AEEA" w:tentative="1">
      <w:start w:val="1"/>
      <w:numFmt w:val="bullet"/>
      <w:lvlText w:val=""/>
      <w:lvlJc w:val="left"/>
      <w:pPr>
        <w:tabs>
          <w:tab w:val="num" w:pos="5760"/>
        </w:tabs>
        <w:ind w:left="5760" w:hanging="360"/>
      </w:pPr>
      <w:rPr>
        <w:rFonts w:ascii="Wingdings" w:hAnsi="Wingdings" w:hint="default"/>
      </w:rPr>
    </w:lvl>
    <w:lvl w:ilvl="8" w:tplc="D43CB1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2F79B9"/>
    <w:multiLevelType w:val="hybridMultilevel"/>
    <w:tmpl w:val="1780D9B8"/>
    <w:lvl w:ilvl="0" w:tplc="1B3E8C5E">
      <w:start w:val="1"/>
      <w:numFmt w:val="bullet"/>
      <w:lvlText w:val=""/>
      <w:lvlJc w:val="left"/>
      <w:pPr>
        <w:tabs>
          <w:tab w:val="num" w:pos="720"/>
        </w:tabs>
        <w:ind w:left="720" w:hanging="360"/>
      </w:pPr>
      <w:rPr>
        <w:rFonts w:ascii="Wingdings" w:hAnsi="Wingdings" w:hint="default"/>
      </w:rPr>
    </w:lvl>
    <w:lvl w:ilvl="1" w:tplc="908259D8" w:tentative="1">
      <w:start w:val="1"/>
      <w:numFmt w:val="bullet"/>
      <w:lvlText w:val=""/>
      <w:lvlJc w:val="left"/>
      <w:pPr>
        <w:tabs>
          <w:tab w:val="num" w:pos="1440"/>
        </w:tabs>
        <w:ind w:left="1440" w:hanging="360"/>
      </w:pPr>
      <w:rPr>
        <w:rFonts w:ascii="Wingdings" w:hAnsi="Wingdings" w:hint="default"/>
      </w:rPr>
    </w:lvl>
    <w:lvl w:ilvl="2" w:tplc="504CF856" w:tentative="1">
      <w:start w:val="1"/>
      <w:numFmt w:val="bullet"/>
      <w:lvlText w:val=""/>
      <w:lvlJc w:val="left"/>
      <w:pPr>
        <w:tabs>
          <w:tab w:val="num" w:pos="2160"/>
        </w:tabs>
        <w:ind w:left="2160" w:hanging="360"/>
      </w:pPr>
      <w:rPr>
        <w:rFonts w:ascii="Wingdings" w:hAnsi="Wingdings" w:hint="default"/>
      </w:rPr>
    </w:lvl>
    <w:lvl w:ilvl="3" w:tplc="AC98E682" w:tentative="1">
      <w:start w:val="1"/>
      <w:numFmt w:val="bullet"/>
      <w:lvlText w:val=""/>
      <w:lvlJc w:val="left"/>
      <w:pPr>
        <w:tabs>
          <w:tab w:val="num" w:pos="2880"/>
        </w:tabs>
        <w:ind w:left="2880" w:hanging="360"/>
      </w:pPr>
      <w:rPr>
        <w:rFonts w:ascii="Wingdings" w:hAnsi="Wingdings" w:hint="default"/>
      </w:rPr>
    </w:lvl>
    <w:lvl w:ilvl="4" w:tplc="B0DEBB28" w:tentative="1">
      <w:start w:val="1"/>
      <w:numFmt w:val="bullet"/>
      <w:lvlText w:val=""/>
      <w:lvlJc w:val="left"/>
      <w:pPr>
        <w:tabs>
          <w:tab w:val="num" w:pos="3600"/>
        </w:tabs>
        <w:ind w:left="3600" w:hanging="360"/>
      </w:pPr>
      <w:rPr>
        <w:rFonts w:ascii="Wingdings" w:hAnsi="Wingdings" w:hint="default"/>
      </w:rPr>
    </w:lvl>
    <w:lvl w:ilvl="5" w:tplc="73643C8A" w:tentative="1">
      <w:start w:val="1"/>
      <w:numFmt w:val="bullet"/>
      <w:lvlText w:val=""/>
      <w:lvlJc w:val="left"/>
      <w:pPr>
        <w:tabs>
          <w:tab w:val="num" w:pos="4320"/>
        </w:tabs>
        <w:ind w:left="4320" w:hanging="360"/>
      </w:pPr>
      <w:rPr>
        <w:rFonts w:ascii="Wingdings" w:hAnsi="Wingdings" w:hint="default"/>
      </w:rPr>
    </w:lvl>
    <w:lvl w:ilvl="6" w:tplc="002CE266" w:tentative="1">
      <w:start w:val="1"/>
      <w:numFmt w:val="bullet"/>
      <w:lvlText w:val=""/>
      <w:lvlJc w:val="left"/>
      <w:pPr>
        <w:tabs>
          <w:tab w:val="num" w:pos="5040"/>
        </w:tabs>
        <w:ind w:left="5040" w:hanging="360"/>
      </w:pPr>
      <w:rPr>
        <w:rFonts w:ascii="Wingdings" w:hAnsi="Wingdings" w:hint="default"/>
      </w:rPr>
    </w:lvl>
    <w:lvl w:ilvl="7" w:tplc="F1200556" w:tentative="1">
      <w:start w:val="1"/>
      <w:numFmt w:val="bullet"/>
      <w:lvlText w:val=""/>
      <w:lvlJc w:val="left"/>
      <w:pPr>
        <w:tabs>
          <w:tab w:val="num" w:pos="5760"/>
        </w:tabs>
        <w:ind w:left="5760" w:hanging="360"/>
      </w:pPr>
      <w:rPr>
        <w:rFonts w:ascii="Wingdings" w:hAnsi="Wingdings" w:hint="default"/>
      </w:rPr>
    </w:lvl>
    <w:lvl w:ilvl="8" w:tplc="0A48A8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39274A"/>
    <w:multiLevelType w:val="hybridMultilevel"/>
    <w:tmpl w:val="0514401A"/>
    <w:lvl w:ilvl="0" w:tplc="8DF472B2">
      <w:start w:val="1"/>
      <w:numFmt w:val="bullet"/>
      <w:lvlText w:val="•"/>
      <w:lvlJc w:val="left"/>
      <w:pPr>
        <w:tabs>
          <w:tab w:val="num" w:pos="720"/>
        </w:tabs>
        <w:ind w:left="720" w:hanging="360"/>
      </w:pPr>
      <w:rPr>
        <w:rFonts w:ascii="Arial" w:hAnsi="Arial" w:hint="default"/>
      </w:rPr>
    </w:lvl>
    <w:lvl w:ilvl="1" w:tplc="AC4462DE" w:tentative="1">
      <w:start w:val="1"/>
      <w:numFmt w:val="bullet"/>
      <w:lvlText w:val="•"/>
      <w:lvlJc w:val="left"/>
      <w:pPr>
        <w:tabs>
          <w:tab w:val="num" w:pos="1440"/>
        </w:tabs>
        <w:ind w:left="1440" w:hanging="360"/>
      </w:pPr>
      <w:rPr>
        <w:rFonts w:ascii="Arial" w:hAnsi="Arial" w:hint="default"/>
      </w:rPr>
    </w:lvl>
    <w:lvl w:ilvl="2" w:tplc="77BAA6AC" w:tentative="1">
      <w:start w:val="1"/>
      <w:numFmt w:val="bullet"/>
      <w:lvlText w:val="•"/>
      <w:lvlJc w:val="left"/>
      <w:pPr>
        <w:tabs>
          <w:tab w:val="num" w:pos="2160"/>
        </w:tabs>
        <w:ind w:left="2160" w:hanging="360"/>
      </w:pPr>
      <w:rPr>
        <w:rFonts w:ascii="Arial" w:hAnsi="Arial" w:hint="default"/>
      </w:rPr>
    </w:lvl>
    <w:lvl w:ilvl="3" w:tplc="910C10FE" w:tentative="1">
      <w:start w:val="1"/>
      <w:numFmt w:val="bullet"/>
      <w:lvlText w:val="•"/>
      <w:lvlJc w:val="left"/>
      <w:pPr>
        <w:tabs>
          <w:tab w:val="num" w:pos="2880"/>
        </w:tabs>
        <w:ind w:left="2880" w:hanging="360"/>
      </w:pPr>
      <w:rPr>
        <w:rFonts w:ascii="Arial" w:hAnsi="Arial" w:hint="default"/>
      </w:rPr>
    </w:lvl>
    <w:lvl w:ilvl="4" w:tplc="2CC853AA" w:tentative="1">
      <w:start w:val="1"/>
      <w:numFmt w:val="bullet"/>
      <w:lvlText w:val="•"/>
      <w:lvlJc w:val="left"/>
      <w:pPr>
        <w:tabs>
          <w:tab w:val="num" w:pos="3600"/>
        </w:tabs>
        <w:ind w:left="3600" w:hanging="360"/>
      </w:pPr>
      <w:rPr>
        <w:rFonts w:ascii="Arial" w:hAnsi="Arial" w:hint="default"/>
      </w:rPr>
    </w:lvl>
    <w:lvl w:ilvl="5" w:tplc="1CE837B0" w:tentative="1">
      <w:start w:val="1"/>
      <w:numFmt w:val="bullet"/>
      <w:lvlText w:val="•"/>
      <w:lvlJc w:val="left"/>
      <w:pPr>
        <w:tabs>
          <w:tab w:val="num" w:pos="4320"/>
        </w:tabs>
        <w:ind w:left="4320" w:hanging="360"/>
      </w:pPr>
      <w:rPr>
        <w:rFonts w:ascii="Arial" w:hAnsi="Arial" w:hint="default"/>
      </w:rPr>
    </w:lvl>
    <w:lvl w:ilvl="6" w:tplc="E378EFF2" w:tentative="1">
      <w:start w:val="1"/>
      <w:numFmt w:val="bullet"/>
      <w:lvlText w:val="•"/>
      <w:lvlJc w:val="left"/>
      <w:pPr>
        <w:tabs>
          <w:tab w:val="num" w:pos="5040"/>
        </w:tabs>
        <w:ind w:left="5040" w:hanging="360"/>
      </w:pPr>
      <w:rPr>
        <w:rFonts w:ascii="Arial" w:hAnsi="Arial" w:hint="default"/>
      </w:rPr>
    </w:lvl>
    <w:lvl w:ilvl="7" w:tplc="DF6A7AEE" w:tentative="1">
      <w:start w:val="1"/>
      <w:numFmt w:val="bullet"/>
      <w:lvlText w:val="•"/>
      <w:lvlJc w:val="left"/>
      <w:pPr>
        <w:tabs>
          <w:tab w:val="num" w:pos="5760"/>
        </w:tabs>
        <w:ind w:left="5760" w:hanging="360"/>
      </w:pPr>
      <w:rPr>
        <w:rFonts w:ascii="Arial" w:hAnsi="Arial" w:hint="default"/>
      </w:rPr>
    </w:lvl>
    <w:lvl w:ilvl="8" w:tplc="5C30118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6F093B"/>
    <w:multiLevelType w:val="hybridMultilevel"/>
    <w:tmpl w:val="9F981380"/>
    <w:lvl w:ilvl="0" w:tplc="6A0A8E7E">
      <w:start w:val="1"/>
      <w:numFmt w:val="bullet"/>
      <w:lvlText w:val="•"/>
      <w:lvlJc w:val="left"/>
      <w:pPr>
        <w:tabs>
          <w:tab w:val="num" w:pos="720"/>
        </w:tabs>
        <w:ind w:left="720" w:hanging="360"/>
      </w:pPr>
      <w:rPr>
        <w:rFonts w:ascii="Arial" w:hAnsi="Arial" w:hint="default"/>
      </w:rPr>
    </w:lvl>
    <w:lvl w:ilvl="1" w:tplc="08A89932" w:tentative="1">
      <w:start w:val="1"/>
      <w:numFmt w:val="bullet"/>
      <w:lvlText w:val="•"/>
      <w:lvlJc w:val="left"/>
      <w:pPr>
        <w:tabs>
          <w:tab w:val="num" w:pos="1440"/>
        </w:tabs>
        <w:ind w:left="1440" w:hanging="360"/>
      </w:pPr>
      <w:rPr>
        <w:rFonts w:ascii="Arial" w:hAnsi="Arial" w:hint="default"/>
      </w:rPr>
    </w:lvl>
    <w:lvl w:ilvl="2" w:tplc="BF7ED5A0" w:tentative="1">
      <w:start w:val="1"/>
      <w:numFmt w:val="bullet"/>
      <w:lvlText w:val="•"/>
      <w:lvlJc w:val="left"/>
      <w:pPr>
        <w:tabs>
          <w:tab w:val="num" w:pos="2160"/>
        </w:tabs>
        <w:ind w:left="2160" w:hanging="360"/>
      </w:pPr>
      <w:rPr>
        <w:rFonts w:ascii="Arial" w:hAnsi="Arial" w:hint="default"/>
      </w:rPr>
    </w:lvl>
    <w:lvl w:ilvl="3" w:tplc="0AC22B32" w:tentative="1">
      <w:start w:val="1"/>
      <w:numFmt w:val="bullet"/>
      <w:lvlText w:val="•"/>
      <w:lvlJc w:val="left"/>
      <w:pPr>
        <w:tabs>
          <w:tab w:val="num" w:pos="2880"/>
        </w:tabs>
        <w:ind w:left="2880" w:hanging="360"/>
      </w:pPr>
      <w:rPr>
        <w:rFonts w:ascii="Arial" w:hAnsi="Arial" w:hint="default"/>
      </w:rPr>
    </w:lvl>
    <w:lvl w:ilvl="4" w:tplc="92A8CB74" w:tentative="1">
      <w:start w:val="1"/>
      <w:numFmt w:val="bullet"/>
      <w:lvlText w:val="•"/>
      <w:lvlJc w:val="left"/>
      <w:pPr>
        <w:tabs>
          <w:tab w:val="num" w:pos="3600"/>
        </w:tabs>
        <w:ind w:left="3600" w:hanging="360"/>
      </w:pPr>
      <w:rPr>
        <w:rFonts w:ascii="Arial" w:hAnsi="Arial" w:hint="default"/>
      </w:rPr>
    </w:lvl>
    <w:lvl w:ilvl="5" w:tplc="AEB27522" w:tentative="1">
      <w:start w:val="1"/>
      <w:numFmt w:val="bullet"/>
      <w:lvlText w:val="•"/>
      <w:lvlJc w:val="left"/>
      <w:pPr>
        <w:tabs>
          <w:tab w:val="num" w:pos="4320"/>
        </w:tabs>
        <w:ind w:left="4320" w:hanging="360"/>
      </w:pPr>
      <w:rPr>
        <w:rFonts w:ascii="Arial" w:hAnsi="Arial" w:hint="default"/>
      </w:rPr>
    </w:lvl>
    <w:lvl w:ilvl="6" w:tplc="1212B956" w:tentative="1">
      <w:start w:val="1"/>
      <w:numFmt w:val="bullet"/>
      <w:lvlText w:val="•"/>
      <w:lvlJc w:val="left"/>
      <w:pPr>
        <w:tabs>
          <w:tab w:val="num" w:pos="5040"/>
        </w:tabs>
        <w:ind w:left="5040" w:hanging="360"/>
      </w:pPr>
      <w:rPr>
        <w:rFonts w:ascii="Arial" w:hAnsi="Arial" w:hint="default"/>
      </w:rPr>
    </w:lvl>
    <w:lvl w:ilvl="7" w:tplc="B4CA1B10" w:tentative="1">
      <w:start w:val="1"/>
      <w:numFmt w:val="bullet"/>
      <w:lvlText w:val="•"/>
      <w:lvlJc w:val="left"/>
      <w:pPr>
        <w:tabs>
          <w:tab w:val="num" w:pos="5760"/>
        </w:tabs>
        <w:ind w:left="5760" w:hanging="360"/>
      </w:pPr>
      <w:rPr>
        <w:rFonts w:ascii="Arial" w:hAnsi="Arial" w:hint="default"/>
      </w:rPr>
    </w:lvl>
    <w:lvl w:ilvl="8" w:tplc="B1907DB2" w:tentative="1">
      <w:start w:val="1"/>
      <w:numFmt w:val="bullet"/>
      <w:lvlText w:val="•"/>
      <w:lvlJc w:val="left"/>
      <w:pPr>
        <w:tabs>
          <w:tab w:val="num" w:pos="6480"/>
        </w:tabs>
        <w:ind w:left="6480" w:hanging="360"/>
      </w:pPr>
      <w:rPr>
        <w:rFonts w:ascii="Arial" w:hAnsi="Arial" w:hint="default"/>
      </w:rPr>
    </w:lvl>
  </w:abstractNum>
  <w:num w:numId="1" w16cid:durableId="1538159065">
    <w:abstractNumId w:val="2"/>
  </w:num>
  <w:num w:numId="2" w16cid:durableId="1461455361">
    <w:abstractNumId w:val="1"/>
  </w:num>
  <w:num w:numId="3" w16cid:durableId="1688829797">
    <w:abstractNumId w:val="10"/>
  </w:num>
  <w:num w:numId="4" w16cid:durableId="149105004">
    <w:abstractNumId w:val="12"/>
  </w:num>
  <w:num w:numId="5" w16cid:durableId="1626737961">
    <w:abstractNumId w:val="11"/>
  </w:num>
  <w:num w:numId="6" w16cid:durableId="757360314">
    <w:abstractNumId w:val="17"/>
  </w:num>
  <w:num w:numId="7" w16cid:durableId="964651866">
    <w:abstractNumId w:val="18"/>
  </w:num>
  <w:num w:numId="8" w16cid:durableId="2003772732">
    <w:abstractNumId w:val="9"/>
  </w:num>
  <w:num w:numId="9" w16cid:durableId="1737050832">
    <w:abstractNumId w:val="15"/>
  </w:num>
  <w:num w:numId="10" w16cid:durableId="135757255">
    <w:abstractNumId w:val="0"/>
  </w:num>
  <w:num w:numId="11" w16cid:durableId="1550529930">
    <w:abstractNumId w:val="16"/>
  </w:num>
  <w:num w:numId="12" w16cid:durableId="1519391311">
    <w:abstractNumId w:val="5"/>
  </w:num>
  <w:num w:numId="13" w16cid:durableId="305009634">
    <w:abstractNumId w:val="6"/>
  </w:num>
  <w:num w:numId="14" w16cid:durableId="231089657">
    <w:abstractNumId w:val="4"/>
  </w:num>
  <w:num w:numId="15" w16cid:durableId="642975501">
    <w:abstractNumId w:val="13"/>
  </w:num>
  <w:num w:numId="16" w16cid:durableId="1756239999">
    <w:abstractNumId w:val="3"/>
  </w:num>
  <w:num w:numId="17" w16cid:durableId="1039822954">
    <w:abstractNumId w:val="14"/>
  </w:num>
  <w:num w:numId="18" w16cid:durableId="1877086556">
    <w:abstractNumId w:val="7"/>
  </w:num>
  <w:num w:numId="19" w16cid:durableId="1342052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792"/>
    <w:rsid w:val="000155F9"/>
    <w:rsid w:val="002C5FD3"/>
    <w:rsid w:val="004837E6"/>
    <w:rsid w:val="005A1FF5"/>
    <w:rsid w:val="005E3FA4"/>
    <w:rsid w:val="005E4E70"/>
    <w:rsid w:val="00615692"/>
    <w:rsid w:val="006C74CA"/>
    <w:rsid w:val="007D003F"/>
    <w:rsid w:val="00807499"/>
    <w:rsid w:val="008409A8"/>
    <w:rsid w:val="008E73D3"/>
    <w:rsid w:val="00981CC8"/>
    <w:rsid w:val="009C2407"/>
    <w:rsid w:val="00A04442"/>
    <w:rsid w:val="00A1107E"/>
    <w:rsid w:val="00A93A59"/>
    <w:rsid w:val="00AC6934"/>
    <w:rsid w:val="00B12388"/>
    <w:rsid w:val="00CC2D77"/>
    <w:rsid w:val="00D75501"/>
    <w:rsid w:val="00DE1792"/>
    <w:rsid w:val="00E2559D"/>
    <w:rsid w:val="00ED4FD3"/>
    <w:rsid w:val="00EF1E06"/>
    <w:rsid w:val="00F06085"/>
    <w:rsid w:val="00F2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FCEA"/>
  <w15:chartTrackingRefBased/>
  <w15:docId w15:val="{E083DF2C-662C-48B6-85E4-2AC9C341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1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1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792"/>
    <w:rPr>
      <w:rFonts w:eastAsiaTheme="majorEastAsia" w:cstheme="majorBidi"/>
      <w:color w:val="272727" w:themeColor="text1" w:themeTint="D8"/>
    </w:rPr>
  </w:style>
  <w:style w:type="paragraph" w:styleId="Title">
    <w:name w:val="Title"/>
    <w:basedOn w:val="Normal"/>
    <w:next w:val="Normal"/>
    <w:link w:val="TitleChar"/>
    <w:uiPriority w:val="10"/>
    <w:qFormat/>
    <w:rsid w:val="00DE1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DE1792"/>
    <w:rPr>
      <w:i/>
      <w:iCs/>
      <w:color w:val="404040" w:themeColor="text1" w:themeTint="BF"/>
    </w:rPr>
  </w:style>
  <w:style w:type="paragraph" w:styleId="ListParagraph">
    <w:name w:val="List Paragraph"/>
    <w:basedOn w:val="Normal"/>
    <w:uiPriority w:val="34"/>
    <w:qFormat/>
    <w:rsid w:val="00DE1792"/>
    <w:pPr>
      <w:ind w:left="720"/>
      <w:contextualSpacing/>
    </w:pPr>
  </w:style>
  <w:style w:type="character" w:styleId="IntenseEmphasis">
    <w:name w:val="Intense Emphasis"/>
    <w:basedOn w:val="DefaultParagraphFont"/>
    <w:uiPriority w:val="21"/>
    <w:qFormat/>
    <w:rsid w:val="00DE1792"/>
    <w:rPr>
      <w:i/>
      <w:iCs/>
      <w:color w:val="0F4761" w:themeColor="accent1" w:themeShade="BF"/>
    </w:rPr>
  </w:style>
  <w:style w:type="paragraph" w:styleId="IntenseQuote">
    <w:name w:val="Intense Quote"/>
    <w:basedOn w:val="Normal"/>
    <w:next w:val="Normal"/>
    <w:link w:val="IntenseQuoteChar"/>
    <w:uiPriority w:val="30"/>
    <w:qFormat/>
    <w:rsid w:val="00D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792"/>
    <w:rPr>
      <w:i/>
      <w:iCs/>
      <w:color w:val="0F4761" w:themeColor="accent1" w:themeShade="BF"/>
    </w:rPr>
  </w:style>
  <w:style w:type="character" w:styleId="IntenseReference">
    <w:name w:val="Intense Reference"/>
    <w:basedOn w:val="DefaultParagraphFont"/>
    <w:uiPriority w:val="32"/>
    <w:qFormat/>
    <w:rsid w:val="00DE1792"/>
    <w:rPr>
      <w:b/>
      <w:bCs/>
      <w:smallCaps/>
      <w:color w:val="0F4761" w:themeColor="accent1" w:themeShade="BF"/>
      <w:spacing w:val="5"/>
    </w:rPr>
  </w:style>
  <w:style w:type="character" w:styleId="Hyperlink">
    <w:name w:val="Hyperlink"/>
    <w:basedOn w:val="DefaultParagraphFont"/>
    <w:uiPriority w:val="99"/>
    <w:unhideWhenUsed/>
    <w:rsid w:val="00DE1792"/>
    <w:rPr>
      <w:color w:val="467886" w:themeColor="hyperlink"/>
      <w:u w:val="single"/>
    </w:rPr>
  </w:style>
  <w:style w:type="character" w:styleId="UnresolvedMention">
    <w:name w:val="Unresolved Mention"/>
    <w:basedOn w:val="DefaultParagraphFont"/>
    <w:uiPriority w:val="99"/>
    <w:semiHidden/>
    <w:unhideWhenUsed/>
    <w:rsid w:val="00DE1792"/>
    <w:rPr>
      <w:color w:val="605E5C"/>
      <w:shd w:val="clear" w:color="auto" w:fill="E1DFDD"/>
    </w:rPr>
  </w:style>
  <w:style w:type="table" w:styleId="TableGrid">
    <w:name w:val="Table Grid"/>
    <w:basedOn w:val="TableNormal"/>
    <w:uiPriority w:val="39"/>
    <w:rsid w:val="00A1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07E"/>
  </w:style>
  <w:style w:type="paragraph" w:styleId="Footer">
    <w:name w:val="footer"/>
    <w:basedOn w:val="Normal"/>
    <w:link w:val="FooterChar"/>
    <w:uiPriority w:val="99"/>
    <w:unhideWhenUsed/>
    <w:rsid w:val="00A11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07E"/>
  </w:style>
  <w:style w:type="character" w:styleId="FollowedHyperlink">
    <w:name w:val="FollowedHyperlink"/>
    <w:basedOn w:val="DefaultParagraphFont"/>
    <w:uiPriority w:val="99"/>
    <w:semiHidden/>
    <w:unhideWhenUsed/>
    <w:rsid w:val="005E3F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24/1319/made" TargetMode="External"/><Relationship Id="rId13" Type="http://schemas.openxmlformats.org/officeDocument/2006/relationships/hyperlink" Target="https://icd.who.int/browse/2025-01/mms/en" TargetMode="External"/><Relationship Id="rId18" Type="http://schemas.openxmlformats.org/officeDocument/2006/relationships/hyperlink" Target="https://www.gov.uk/government/consultations/proposed-changes-to-the-availability-of-puberty-blockers-for-under-18s/proposed-changes-to-the-availability-of-puberty-blockers" TargetMode="External"/><Relationship Id="rId3" Type="http://schemas.openxmlformats.org/officeDocument/2006/relationships/settings" Target="settings.xml"/><Relationship Id="rId21" Type="http://schemas.openxmlformats.org/officeDocument/2006/relationships/hyperlink" Target="https://www.medicines.org.uk/emc/product/4651/smpc" TargetMode="External"/><Relationship Id="rId7" Type="http://schemas.openxmlformats.org/officeDocument/2006/relationships/hyperlink" Target="https://www.england.nhs.uk/commissioning/spec-services/npc-crg/gender-dysphoria-clinical-programme/" TargetMode="External"/><Relationship Id="rId12" Type="http://schemas.openxmlformats.org/officeDocument/2006/relationships/hyperlink" Target="https://icd.who.int/browse/2025-01/mms/en" TargetMode="External"/><Relationship Id="rId17" Type="http://schemas.openxmlformats.org/officeDocument/2006/relationships/hyperlink" Target="https://www.england.nhs.uk/wp-content/uploads/2024/03/clinical-commissioning-policy-gender-affirming-hormones-v2.pdf" TargetMode="External"/><Relationship Id="rId2" Type="http://schemas.openxmlformats.org/officeDocument/2006/relationships/styles" Target="styles.xml"/><Relationship Id="rId16" Type="http://schemas.openxmlformats.org/officeDocument/2006/relationships/hyperlink" Target="https://cass.independent-review.uk/wp-content/uploads/2024/04/CassReview_Final.pdf" TargetMode="External"/><Relationship Id="rId20" Type="http://schemas.openxmlformats.org/officeDocument/2006/relationships/hyperlink" Target="https://www.medicines.org.uk/emc/product/1543/smp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long-read/updated-guidance-to-primary-care-about-unregulated-providers-who-supply-hormone-medications-to-children-and-young-people-for-gender-incongruenc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rcgp.org.uk/representing-you/policy-areas/transgender-care" TargetMode="External"/><Relationship Id="rId19" Type="http://schemas.openxmlformats.org/officeDocument/2006/relationships/hyperlink" Target="https://www.medicines.org.uk/emc/product/2229/smpc" TargetMode="External"/><Relationship Id="rId4" Type="http://schemas.openxmlformats.org/officeDocument/2006/relationships/webSettings" Target="webSettings.xml"/><Relationship Id="rId9" Type="http://schemas.openxmlformats.org/officeDocument/2006/relationships/hyperlink" Target="https://www.england.nhs.uk/long-read/updated-guidance-to-primary-care-about-unregulated-providers-who-supply-hormone-medications-to-children-and-young-people-for-gender-incongruence/" TargetMode="External"/><Relationship Id="rId14" Type="http://schemas.openxmlformats.org/officeDocument/2006/relationships/hyperlink" Target="https://www.medicines.org.uk/emc/product/5373/smpc" TargetMode="External"/><Relationship Id="rId22" Type="http://schemas.openxmlformats.org/officeDocument/2006/relationships/hyperlink" Target="https://www.medicines.org.uk/emc/product/1149/sm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Rosie (NHS LINCOLNSHIRE ICB - 71E)</dc:creator>
  <cp:keywords/>
  <dc:description/>
  <cp:lastModifiedBy>Tracey Latham-Green</cp:lastModifiedBy>
  <cp:revision>2</cp:revision>
  <dcterms:created xsi:type="dcterms:W3CDTF">2026-05-13T13:26:00Z</dcterms:created>
  <dcterms:modified xsi:type="dcterms:W3CDTF">2026-05-13T13:26:00Z</dcterms:modified>
</cp:coreProperties>
</file>